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1B" w:rsidRPr="007F28BE" w:rsidRDefault="009F1A1B" w:rsidP="009F1A1B">
      <w:pPr>
        <w:widowControl w:val="0"/>
        <w:suppressAutoHyphens/>
        <w:spacing w:after="0" w:line="240" w:lineRule="auto"/>
        <w:rPr>
          <w:rFonts w:ascii="Times New Roman" w:eastAsia="Lucida Sans Unicode" w:hAnsi="Times New Roman" w:cs="Tahoma"/>
          <w:sz w:val="16"/>
          <w:szCs w:val="16"/>
        </w:rPr>
      </w:pPr>
      <w:r w:rsidRPr="007F28BE">
        <w:rPr>
          <w:rFonts w:ascii="Times New Roman" w:eastAsia="Lucida Sans Unicode" w:hAnsi="Times New Roman" w:cs="Tahoma"/>
          <w:sz w:val="16"/>
          <w:szCs w:val="16"/>
        </w:rPr>
        <w:t>Pedagogiczna Biblioteka Wojewódzka w Przemyślu</w:t>
      </w:r>
    </w:p>
    <w:p w:rsidR="009F1A1B" w:rsidRPr="007F28BE" w:rsidRDefault="009F1A1B" w:rsidP="009F1A1B">
      <w:pPr>
        <w:widowControl w:val="0"/>
        <w:suppressAutoHyphens/>
        <w:spacing w:after="0" w:line="240" w:lineRule="auto"/>
        <w:rPr>
          <w:rFonts w:ascii="Times New Roman" w:eastAsia="Lucida Sans Unicode" w:hAnsi="Times New Roman" w:cs="Tahoma"/>
          <w:sz w:val="16"/>
          <w:szCs w:val="16"/>
        </w:rPr>
      </w:pPr>
      <w:r w:rsidRPr="007F28BE">
        <w:rPr>
          <w:rFonts w:ascii="Times New Roman" w:eastAsia="Lucida Sans Unicode" w:hAnsi="Times New Roman" w:cs="Tahoma"/>
          <w:sz w:val="16"/>
          <w:szCs w:val="16"/>
        </w:rPr>
        <w:t xml:space="preserve">Wydział </w:t>
      </w:r>
      <w:proofErr w:type="spellStart"/>
      <w:r w:rsidRPr="007F28BE">
        <w:rPr>
          <w:rFonts w:ascii="Times New Roman" w:eastAsia="Lucida Sans Unicode" w:hAnsi="Times New Roman" w:cs="Tahoma"/>
          <w:sz w:val="16"/>
          <w:szCs w:val="16"/>
        </w:rPr>
        <w:t>Informacyjno</w:t>
      </w:r>
      <w:proofErr w:type="spellEnd"/>
      <w:r w:rsidRPr="007F28BE">
        <w:rPr>
          <w:rFonts w:ascii="Times New Roman" w:eastAsia="Lucida Sans Unicode" w:hAnsi="Times New Roman" w:cs="Tahoma"/>
          <w:sz w:val="16"/>
          <w:szCs w:val="16"/>
        </w:rPr>
        <w:t xml:space="preserve"> – Bibliograficzny i Czytelnia</w:t>
      </w:r>
    </w:p>
    <w:p w:rsidR="009F1A1B" w:rsidRDefault="009F1A1B" w:rsidP="009F1A1B">
      <w:pPr>
        <w:widowControl w:val="0"/>
        <w:suppressAutoHyphens/>
        <w:spacing w:after="0" w:line="240" w:lineRule="auto"/>
        <w:rPr>
          <w:rFonts w:ascii="Times New Roman" w:eastAsia="Lucida Sans Unicode" w:hAnsi="Times New Roman" w:cs="Tahoma"/>
          <w:sz w:val="16"/>
          <w:szCs w:val="16"/>
        </w:rPr>
      </w:pPr>
      <w:r>
        <w:rPr>
          <w:rFonts w:ascii="Times New Roman" w:eastAsia="Lucida Sans Unicode" w:hAnsi="Times New Roman" w:cs="Tahoma"/>
          <w:sz w:val="16"/>
          <w:szCs w:val="16"/>
        </w:rPr>
        <w:t>Na podstawie  recenzji wydawnictw o</w:t>
      </w:r>
      <w:r w:rsidRPr="007F28BE">
        <w:rPr>
          <w:rFonts w:ascii="Times New Roman" w:eastAsia="Lucida Sans Unicode" w:hAnsi="Times New Roman" w:cs="Tahoma"/>
          <w:sz w:val="16"/>
          <w:szCs w:val="16"/>
        </w:rPr>
        <w:t>prac</w:t>
      </w:r>
      <w:r>
        <w:rPr>
          <w:rFonts w:ascii="Times New Roman" w:eastAsia="Lucida Sans Unicode" w:hAnsi="Times New Roman" w:cs="Tahoma"/>
          <w:sz w:val="16"/>
          <w:szCs w:val="16"/>
        </w:rPr>
        <w:t>owała</w:t>
      </w:r>
      <w:r w:rsidRPr="007F28BE">
        <w:rPr>
          <w:rFonts w:ascii="Times New Roman" w:eastAsia="Lucida Sans Unicode" w:hAnsi="Times New Roman" w:cs="Tahoma"/>
          <w:sz w:val="16"/>
          <w:szCs w:val="16"/>
        </w:rPr>
        <w:t xml:space="preserve"> Elżbieta Krupa</w:t>
      </w:r>
    </w:p>
    <w:p w:rsidR="009F1A1B" w:rsidRDefault="009F1A1B" w:rsidP="009F1A1B">
      <w:pPr>
        <w:spacing w:after="0"/>
        <w:jc w:val="center"/>
        <w:rPr>
          <w:rFonts w:ascii="Verdana" w:hAnsi="Verdana"/>
          <w:b/>
          <w:color w:val="365F91" w:themeColor="accent1" w:themeShade="BF"/>
          <w:sz w:val="24"/>
          <w:szCs w:val="24"/>
        </w:rPr>
      </w:pPr>
    </w:p>
    <w:p w:rsidR="009F1A1B" w:rsidRDefault="009F1A1B" w:rsidP="009F1A1B">
      <w:pPr>
        <w:spacing w:after="0"/>
        <w:jc w:val="center"/>
        <w:rPr>
          <w:rFonts w:ascii="Verdana" w:hAnsi="Verdana"/>
          <w:b/>
          <w:color w:val="365F91" w:themeColor="accent1" w:themeShade="BF"/>
          <w:sz w:val="24"/>
          <w:szCs w:val="24"/>
        </w:rPr>
      </w:pPr>
      <w:r w:rsidRPr="007F28BE">
        <w:rPr>
          <w:rFonts w:ascii="Verdana" w:hAnsi="Verdana"/>
          <w:b/>
          <w:color w:val="365F91" w:themeColor="accent1" w:themeShade="BF"/>
          <w:sz w:val="24"/>
          <w:szCs w:val="24"/>
        </w:rPr>
        <w:t xml:space="preserve">PEDAGOGIKA / PSYCHOLOGIA </w:t>
      </w:r>
    </w:p>
    <w:p w:rsidR="009F1A1B" w:rsidRDefault="009F1A1B" w:rsidP="009F1A1B">
      <w:pPr>
        <w:spacing w:after="0"/>
        <w:jc w:val="center"/>
        <w:rPr>
          <w:rFonts w:ascii="Verdana" w:hAnsi="Verdana"/>
          <w:b/>
          <w:color w:val="365F91" w:themeColor="accent1" w:themeShade="BF"/>
          <w:sz w:val="24"/>
          <w:szCs w:val="24"/>
        </w:rPr>
      </w:pPr>
    </w:p>
    <w:tbl>
      <w:tblPr>
        <w:tblStyle w:val="Tabela-Siatka"/>
        <w:tblW w:w="0" w:type="auto"/>
        <w:tblLayout w:type="fixed"/>
        <w:tblLook w:val="04A0" w:firstRow="1" w:lastRow="0" w:firstColumn="1" w:lastColumn="0" w:noHBand="0" w:noVBand="1"/>
      </w:tblPr>
      <w:tblGrid>
        <w:gridCol w:w="6771"/>
        <w:gridCol w:w="2441"/>
      </w:tblGrid>
      <w:tr w:rsidR="009F1A1B" w:rsidTr="007A30B2">
        <w:tc>
          <w:tcPr>
            <w:tcW w:w="6771" w:type="dxa"/>
          </w:tcPr>
          <w:p w:rsidR="00C4355D" w:rsidRPr="007A30B2" w:rsidRDefault="00C4355D" w:rsidP="00C4355D">
            <w:pPr>
              <w:rPr>
                <w:rFonts w:ascii="Times New Roman" w:hAnsi="Times New Roman" w:cs="Times New Roman"/>
                <w:sz w:val="20"/>
                <w:szCs w:val="20"/>
              </w:rPr>
            </w:pPr>
            <w:proofErr w:type="spellStart"/>
            <w:r w:rsidRPr="007A30B2">
              <w:rPr>
                <w:rFonts w:ascii="Times New Roman" w:hAnsi="Times New Roman" w:cs="Times New Roman"/>
                <w:b/>
                <w:sz w:val="20"/>
                <w:szCs w:val="20"/>
              </w:rPr>
              <w:t>Logodydaktyka</w:t>
            </w:r>
            <w:proofErr w:type="spellEnd"/>
            <w:r w:rsidRPr="007A30B2">
              <w:rPr>
                <w:rFonts w:ascii="Times New Roman" w:hAnsi="Times New Roman" w:cs="Times New Roman"/>
                <w:b/>
                <w:sz w:val="20"/>
                <w:szCs w:val="20"/>
              </w:rPr>
              <w:t xml:space="preserve"> w edukacji : o wychowaniu mądrego i szczęśliwego człowieka</w:t>
            </w:r>
            <w:r w:rsidRPr="007A30B2">
              <w:rPr>
                <w:rFonts w:ascii="Times New Roman" w:hAnsi="Times New Roman" w:cs="Times New Roman"/>
                <w:sz w:val="20"/>
                <w:szCs w:val="20"/>
              </w:rPr>
              <w:t xml:space="preserve"> / Iwona Majewska-Opiełka. - Sopot : Gdańskie W</w:t>
            </w:r>
            <w:r w:rsidR="00384719" w:rsidRPr="007A30B2">
              <w:rPr>
                <w:rFonts w:ascii="Times New Roman" w:hAnsi="Times New Roman" w:cs="Times New Roman"/>
                <w:sz w:val="20"/>
                <w:szCs w:val="20"/>
              </w:rPr>
              <w:t>ydawnictwo Psychologiczne, 2015</w:t>
            </w:r>
          </w:p>
          <w:p w:rsidR="00C4355D" w:rsidRPr="007A30B2" w:rsidRDefault="00C4355D" w:rsidP="00C4355D">
            <w:pPr>
              <w:rPr>
                <w:rFonts w:ascii="Times New Roman" w:hAnsi="Times New Roman" w:cs="Times New Roman"/>
                <w:sz w:val="16"/>
                <w:szCs w:val="16"/>
              </w:rPr>
            </w:pPr>
          </w:p>
          <w:p w:rsidR="00C4355D" w:rsidRPr="007A30B2" w:rsidRDefault="00C4355D" w:rsidP="00C4355D">
            <w:pPr>
              <w:jc w:val="both"/>
              <w:rPr>
                <w:rFonts w:ascii="Times New Roman" w:hAnsi="Times New Roman" w:cs="Times New Roman"/>
                <w:sz w:val="20"/>
                <w:szCs w:val="20"/>
              </w:rPr>
            </w:pPr>
            <w:proofErr w:type="spellStart"/>
            <w:r w:rsidRPr="007A30B2">
              <w:rPr>
                <w:rFonts w:ascii="Times New Roman" w:hAnsi="Times New Roman" w:cs="Times New Roman"/>
                <w:sz w:val="20"/>
                <w:szCs w:val="20"/>
              </w:rPr>
              <w:t>Logodydaktyka</w:t>
            </w:r>
            <w:proofErr w:type="spellEnd"/>
            <w:r w:rsidRPr="007A30B2">
              <w:rPr>
                <w:rFonts w:ascii="Times New Roman" w:hAnsi="Times New Roman" w:cs="Times New Roman"/>
                <w:sz w:val="20"/>
                <w:szCs w:val="20"/>
              </w:rPr>
              <w:t xml:space="preserve"> to autorska koncepcja Iwony </w:t>
            </w:r>
            <w:proofErr w:type="spellStart"/>
            <w:r w:rsidRPr="007A30B2">
              <w:rPr>
                <w:rFonts w:ascii="Times New Roman" w:hAnsi="Times New Roman" w:cs="Times New Roman"/>
                <w:sz w:val="20"/>
                <w:szCs w:val="20"/>
              </w:rPr>
              <w:t>Majewskiej-Opiełki</w:t>
            </w:r>
            <w:proofErr w:type="spellEnd"/>
            <w:r w:rsidRPr="007A30B2">
              <w:rPr>
                <w:rFonts w:ascii="Times New Roman" w:hAnsi="Times New Roman" w:cs="Times New Roman"/>
                <w:sz w:val="20"/>
                <w:szCs w:val="20"/>
              </w:rPr>
              <w:t xml:space="preserve"> zajmująca się całościowo wspieraniem rozwoju człowieka. Przełożona na potrzeby edukacji przyjmuje formę spójnego programu wychowawczego, który stanowi najlepszą odpowiedź na niedoskonałości dzisiejszej szkoły. W myśl założeń </w:t>
            </w:r>
            <w:proofErr w:type="spellStart"/>
            <w:r w:rsidRPr="007A30B2">
              <w:rPr>
                <w:rFonts w:ascii="Times New Roman" w:hAnsi="Times New Roman" w:cs="Times New Roman"/>
                <w:sz w:val="20"/>
                <w:szCs w:val="20"/>
              </w:rPr>
              <w:t>logodydaktyki</w:t>
            </w:r>
            <w:proofErr w:type="spellEnd"/>
            <w:r w:rsidRPr="007A30B2">
              <w:rPr>
                <w:rFonts w:ascii="Times New Roman" w:hAnsi="Times New Roman" w:cs="Times New Roman"/>
                <w:sz w:val="20"/>
                <w:szCs w:val="20"/>
              </w:rPr>
              <w:t xml:space="preserve"> zadaniem edukacji nie mogą być jedynie przekaz wiedzy merytorycznej i nauka krytycznego myślenia. Jej powinnością jest również przyczynianie się do wykształcenia w młodych ludziach siły charakteru i poczucia tożsamości, czyli wychowanie człowieka, który poradzi sobie w nieustannie się zmieniającym świecie. Koncepcja wychowawcza oparta na </w:t>
            </w:r>
            <w:proofErr w:type="spellStart"/>
            <w:r w:rsidRPr="007A30B2">
              <w:rPr>
                <w:rFonts w:ascii="Times New Roman" w:hAnsi="Times New Roman" w:cs="Times New Roman"/>
                <w:sz w:val="20"/>
                <w:szCs w:val="20"/>
              </w:rPr>
              <w:t>logodydaktyce</w:t>
            </w:r>
            <w:proofErr w:type="spellEnd"/>
            <w:r w:rsidRPr="007A30B2">
              <w:rPr>
                <w:rFonts w:ascii="Times New Roman" w:hAnsi="Times New Roman" w:cs="Times New Roman"/>
                <w:sz w:val="20"/>
                <w:szCs w:val="20"/>
              </w:rPr>
              <w:t xml:space="preserve"> bardzo dobrze sprawdzi się na każdym poziomie edukacji, umożliwiając wychowywanie uczniów do przyszłości przy równoczesnej trosce o ich teraźniejszość.</w:t>
            </w:r>
          </w:p>
          <w:p w:rsidR="00C4355D" w:rsidRPr="007A30B2" w:rsidRDefault="00C4355D" w:rsidP="00C4355D">
            <w:pPr>
              <w:jc w:val="both"/>
              <w:rPr>
                <w:rFonts w:ascii="Times New Roman" w:hAnsi="Times New Roman" w:cs="Times New Roman"/>
                <w:sz w:val="20"/>
                <w:szCs w:val="20"/>
              </w:rPr>
            </w:pPr>
            <w:r w:rsidRPr="007A30B2">
              <w:rPr>
                <w:rFonts w:ascii="Times New Roman" w:hAnsi="Times New Roman" w:cs="Times New Roman"/>
                <w:sz w:val="20"/>
                <w:szCs w:val="20"/>
              </w:rPr>
              <w:t xml:space="preserve">Książka zawiera nie tylko kompleksowe omówienie teoretycznych podstaw </w:t>
            </w:r>
            <w:proofErr w:type="spellStart"/>
            <w:r w:rsidRPr="007A30B2">
              <w:rPr>
                <w:rFonts w:ascii="Times New Roman" w:hAnsi="Times New Roman" w:cs="Times New Roman"/>
                <w:sz w:val="20"/>
                <w:szCs w:val="20"/>
              </w:rPr>
              <w:t>logodydaktyki</w:t>
            </w:r>
            <w:proofErr w:type="spellEnd"/>
            <w:r w:rsidRPr="007A30B2">
              <w:rPr>
                <w:rFonts w:ascii="Times New Roman" w:hAnsi="Times New Roman" w:cs="Times New Roman"/>
                <w:sz w:val="20"/>
                <w:szCs w:val="20"/>
              </w:rPr>
              <w:t xml:space="preserve"> wraz z licznymi dowodami jej skuteczności w sferze edukacyjnej, ale również zestaw praktycznych wskazówek dla praktyków oraz zbiór 30 tematów do pracy przez okres całej edukacji. Dzięki temu po jej lekturze każdy czytelnik będzie wiedział, od czego zacząć i jak krok po kroku osiągać cele, do których zmierza wraz z uczniami.</w:t>
            </w:r>
          </w:p>
          <w:p w:rsidR="00C4355D" w:rsidRPr="007A30B2" w:rsidRDefault="00C4355D" w:rsidP="00C4355D">
            <w:pPr>
              <w:rPr>
                <w:rFonts w:ascii="Times New Roman" w:hAnsi="Times New Roman" w:cs="Times New Roman"/>
                <w:sz w:val="16"/>
                <w:szCs w:val="16"/>
              </w:rPr>
            </w:pPr>
          </w:p>
          <w:p w:rsidR="009F1A1B" w:rsidRPr="00C4355D" w:rsidRDefault="00C4355D" w:rsidP="00F14E13">
            <w:pPr>
              <w:rPr>
                <w:rFonts w:ascii="Times New Roman" w:hAnsi="Times New Roman" w:cs="Times New Roman"/>
                <w:sz w:val="18"/>
                <w:szCs w:val="18"/>
              </w:rPr>
            </w:pPr>
            <w:r w:rsidRPr="007A30B2">
              <w:rPr>
                <w:rFonts w:ascii="Times New Roman" w:hAnsi="Times New Roman" w:cs="Times New Roman"/>
                <w:sz w:val="20"/>
                <w:szCs w:val="20"/>
              </w:rPr>
              <w:t>Lubaczów </w:t>
            </w:r>
            <w:hyperlink r:id="rId6" w:history="1">
              <w:r w:rsidRPr="007A30B2">
                <w:rPr>
                  <w:rStyle w:val="Hipercze"/>
                  <w:rFonts w:ascii="Times New Roman" w:hAnsi="Times New Roman" w:cs="Times New Roman"/>
                  <w:color w:val="auto"/>
                  <w:sz w:val="20"/>
                  <w:szCs w:val="20"/>
                  <w:u w:val="none"/>
                </w:rPr>
                <w:t>WL</w:t>
              </w:r>
            </w:hyperlink>
            <w:r w:rsidR="00F14E13">
              <w:t xml:space="preserve"> </w:t>
            </w:r>
            <w:r w:rsidRPr="007A30B2">
              <w:rPr>
                <w:rFonts w:ascii="Times New Roman" w:hAnsi="Times New Roman" w:cs="Times New Roman"/>
                <w:sz w:val="20"/>
                <w:szCs w:val="20"/>
              </w:rPr>
              <w:t>49409; Przemyśl </w:t>
            </w:r>
            <w:hyperlink r:id="rId7" w:history="1">
              <w:r w:rsidRPr="007A30B2">
                <w:rPr>
                  <w:rStyle w:val="Hipercze"/>
                  <w:rFonts w:ascii="Times New Roman" w:hAnsi="Times New Roman" w:cs="Times New Roman"/>
                  <w:color w:val="auto"/>
                  <w:sz w:val="20"/>
                  <w:szCs w:val="20"/>
                  <w:u w:val="none"/>
                </w:rPr>
                <w:t>WP</w:t>
              </w:r>
            </w:hyperlink>
            <w:r w:rsidRPr="007A30B2">
              <w:rPr>
                <w:rFonts w:ascii="Times New Roman" w:hAnsi="Times New Roman" w:cs="Times New Roman"/>
                <w:sz w:val="20"/>
                <w:szCs w:val="20"/>
              </w:rPr>
              <w:t> 107559; Przeworsk </w:t>
            </w:r>
            <w:hyperlink r:id="rId8" w:history="1">
              <w:r w:rsidRPr="007A30B2">
                <w:rPr>
                  <w:rStyle w:val="Hipercze"/>
                  <w:rFonts w:ascii="Times New Roman" w:hAnsi="Times New Roman" w:cs="Times New Roman"/>
                  <w:color w:val="auto"/>
                  <w:sz w:val="20"/>
                  <w:szCs w:val="20"/>
                  <w:u w:val="none"/>
                </w:rPr>
                <w:t>WK</w:t>
              </w:r>
            </w:hyperlink>
            <w:r w:rsidRPr="007A30B2">
              <w:rPr>
                <w:rFonts w:ascii="Times New Roman" w:hAnsi="Times New Roman" w:cs="Times New Roman"/>
                <w:sz w:val="20"/>
                <w:szCs w:val="20"/>
              </w:rPr>
              <w:t> 51932; Przeworsk</w:t>
            </w:r>
            <w:r w:rsidR="00F14E13">
              <w:rPr>
                <w:rFonts w:ascii="Times New Roman" w:hAnsi="Times New Roman" w:cs="Times New Roman"/>
                <w:sz w:val="20"/>
                <w:szCs w:val="20"/>
              </w:rPr>
              <w:t xml:space="preserve"> </w:t>
            </w:r>
            <w:hyperlink r:id="rId9" w:history="1">
              <w:proofErr w:type="spellStart"/>
              <w:r w:rsidRPr="007A30B2">
                <w:rPr>
                  <w:rStyle w:val="Hipercze"/>
                  <w:rFonts w:ascii="Times New Roman" w:hAnsi="Times New Roman" w:cs="Times New Roman"/>
                  <w:color w:val="auto"/>
                  <w:sz w:val="20"/>
                  <w:szCs w:val="20"/>
                  <w:u w:val="none"/>
                </w:rPr>
                <w:t>MKsK</w:t>
              </w:r>
              <w:proofErr w:type="spellEnd"/>
            </w:hyperlink>
            <w:r w:rsidRPr="007A30B2">
              <w:rPr>
                <w:rFonts w:ascii="Times New Roman" w:hAnsi="Times New Roman" w:cs="Times New Roman"/>
                <w:sz w:val="20"/>
                <w:szCs w:val="20"/>
              </w:rPr>
              <w:t> 159.9</w:t>
            </w:r>
          </w:p>
        </w:tc>
        <w:tc>
          <w:tcPr>
            <w:tcW w:w="2441" w:type="dxa"/>
          </w:tcPr>
          <w:p w:rsidR="00C4355D" w:rsidRDefault="00C4355D" w:rsidP="00C4355D">
            <w:pPr>
              <w:rPr>
                <w:rFonts w:ascii="Verdana" w:hAnsi="Verdana"/>
                <w:b/>
                <w:color w:val="365F91" w:themeColor="accent1" w:themeShade="BF"/>
                <w:sz w:val="24"/>
                <w:szCs w:val="24"/>
              </w:rPr>
            </w:pPr>
            <w:r>
              <w:rPr>
                <w:rFonts w:ascii="Verdana" w:hAnsi="Verdana"/>
                <w:noProof/>
                <w:color w:val="606165"/>
                <w:sz w:val="17"/>
                <w:szCs w:val="17"/>
                <w:lang w:eastAsia="pl-PL"/>
              </w:rPr>
              <w:drawing>
                <wp:anchor distT="0" distB="0" distL="114300" distR="114300" simplePos="0" relativeHeight="251658240" behindDoc="1" locked="0" layoutInCell="1" allowOverlap="1" wp14:anchorId="55579AD1" wp14:editId="1CDB14B3">
                  <wp:simplePos x="0" y="0"/>
                  <wp:positionH relativeFrom="column">
                    <wp:posOffset>-64135</wp:posOffset>
                  </wp:positionH>
                  <wp:positionV relativeFrom="paragraph">
                    <wp:posOffset>634365</wp:posOffset>
                  </wp:positionV>
                  <wp:extent cx="1600200" cy="1725930"/>
                  <wp:effectExtent l="0" t="0" r="0" b="7620"/>
                  <wp:wrapThrough wrapText="bothSides">
                    <wp:wrapPolygon edited="0">
                      <wp:start x="0" y="0"/>
                      <wp:lineTo x="0" y="21457"/>
                      <wp:lineTo x="21343" y="21457"/>
                      <wp:lineTo x="21343" y="0"/>
                      <wp:lineTo x="0" y="0"/>
                    </wp:wrapPolygon>
                  </wp:wrapThrough>
                  <wp:docPr id="1" name="JSgallery_image" descr="http://www.gwp.pl/img/product/13844/ki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gallery_image" descr="http://www.gwp.pl/img/product/13844/kind/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725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5E63" w:rsidTr="007A30B2">
        <w:tc>
          <w:tcPr>
            <w:tcW w:w="6771" w:type="dxa"/>
          </w:tcPr>
          <w:p w:rsidR="00175E63" w:rsidRPr="007A30B2" w:rsidRDefault="00175E63" w:rsidP="00175E63">
            <w:pPr>
              <w:rPr>
                <w:rFonts w:ascii="Times New Roman" w:hAnsi="Times New Roman" w:cs="Times New Roman"/>
                <w:sz w:val="20"/>
                <w:szCs w:val="20"/>
              </w:rPr>
            </w:pPr>
            <w:r w:rsidRPr="007A30B2">
              <w:rPr>
                <w:rFonts w:ascii="Times New Roman" w:hAnsi="Times New Roman" w:cs="Times New Roman"/>
                <w:b/>
                <w:sz w:val="20"/>
                <w:szCs w:val="20"/>
              </w:rPr>
              <w:t xml:space="preserve">Uczeń (nie) biega i (nie) krzyczy : rytuały oporu jako przejaw </w:t>
            </w:r>
            <w:proofErr w:type="spellStart"/>
            <w:r w:rsidRPr="007A30B2">
              <w:rPr>
                <w:rFonts w:ascii="Times New Roman" w:hAnsi="Times New Roman" w:cs="Times New Roman"/>
                <w:b/>
                <w:sz w:val="20"/>
                <w:szCs w:val="20"/>
              </w:rPr>
              <w:t>autoekspresji</w:t>
            </w:r>
            <w:proofErr w:type="spellEnd"/>
            <w:r w:rsidRPr="007A30B2">
              <w:rPr>
                <w:rFonts w:ascii="Times New Roman" w:hAnsi="Times New Roman" w:cs="Times New Roman"/>
                <w:b/>
                <w:sz w:val="20"/>
                <w:szCs w:val="20"/>
              </w:rPr>
              <w:t xml:space="preserve"> młodzieży / </w:t>
            </w:r>
            <w:r w:rsidRPr="007A30B2">
              <w:rPr>
                <w:rFonts w:ascii="Times New Roman" w:hAnsi="Times New Roman" w:cs="Times New Roman"/>
                <w:sz w:val="20"/>
                <w:szCs w:val="20"/>
              </w:rPr>
              <w:t xml:space="preserve">Anna </w:t>
            </w:r>
            <w:proofErr w:type="spellStart"/>
            <w:r w:rsidRPr="007A30B2">
              <w:rPr>
                <w:rFonts w:ascii="Times New Roman" w:hAnsi="Times New Roman" w:cs="Times New Roman"/>
                <w:sz w:val="20"/>
                <w:szCs w:val="20"/>
              </w:rPr>
              <w:t>Babicka-Wirkus</w:t>
            </w:r>
            <w:proofErr w:type="spellEnd"/>
            <w:r w:rsidRPr="007A30B2">
              <w:rPr>
                <w:rFonts w:ascii="Times New Roman" w:hAnsi="Times New Roman" w:cs="Times New Roman"/>
                <w:sz w:val="20"/>
                <w:szCs w:val="20"/>
              </w:rPr>
              <w:t>. - Kraków : "Impuls", 2015</w:t>
            </w:r>
          </w:p>
          <w:p w:rsidR="00175E63" w:rsidRPr="007A30B2" w:rsidRDefault="00175E63" w:rsidP="00175E63">
            <w:pPr>
              <w:rPr>
                <w:rFonts w:ascii="Times New Roman" w:hAnsi="Times New Roman" w:cs="Times New Roman"/>
                <w:sz w:val="16"/>
                <w:szCs w:val="16"/>
              </w:rPr>
            </w:pPr>
          </w:p>
          <w:p w:rsidR="00175E63" w:rsidRPr="007A30B2" w:rsidRDefault="00175E63" w:rsidP="00286B87">
            <w:pPr>
              <w:jc w:val="both"/>
              <w:rPr>
                <w:rFonts w:ascii="Times New Roman" w:hAnsi="Times New Roman" w:cs="Times New Roman"/>
                <w:sz w:val="20"/>
                <w:szCs w:val="20"/>
              </w:rPr>
            </w:pPr>
            <w:r w:rsidRPr="007A30B2">
              <w:rPr>
                <w:rFonts w:ascii="Times New Roman" w:hAnsi="Times New Roman" w:cs="Times New Roman"/>
                <w:sz w:val="20"/>
                <w:szCs w:val="20"/>
              </w:rPr>
              <w:t xml:space="preserve">W 2013 r. Anna </w:t>
            </w:r>
            <w:proofErr w:type="spellStart"/>
            <w:r w:rsidRPr="007A30B2">
              <w:rPr>
                <w:rFonts w:ascii="Times New Roman" w:hAnsi="Times New Roman" w:cs="Times New Roman"/>
                <w:sz w:val="20"/>
                <w:szCs w:val="20"/>
              </w:rPr>
              <w:t>Babicka-Wirkus</w:t>
            </w:r>
            <w:proofErr w:type="spellEnd"/>
            <w:r w:rsidRPr="007A30B2">
              <w:rPr>
                <w:rFonts w:ascii="Times New Roman" w:hAnsi="Times New Roman" w:cs="Times New Roman"/>
                <w:sz w:val="20"/>
                <w:szCs w:val="20"/>
              </w:rPr>
              <w:t xml:space="preserve"> za swą dysertację „Respektowanie prawa do </w:t>
            </w:r>
            <w:proofErr w:type="spellStart"/>
            <w:r w:rsidRPr="007A30B2">
              <w:rPr>
                <w:rFonts w:ascii="Times New Roman" w:hAnsi="Times New Roman" w:cs="Times New Roman"/>
                <w:sz w:val="20"/>
                <w:szCs w:val="20"/>
              </w:rPr>
              <w:t>autoekspresji</w:t>
            </w:r>
            <w:proofErr w:type="spellEnd"/>
            <w:r w:rsidRPr="007A30B2">
              <w:rPr>
                <w:rFonts w:ascii="Times New Roman" w:hAnsi="Times New Roman" w:cs="Times New Roman"/>
                <w:sz w:val="20"/>
                <w:szCs w:val="20"/>
              </w:rPr>
              <w:t xml:space="preserve"> a rytuały oporu gimnazjalistów” </w:t>
            </w:r>
            <w:r w:rsidRPr="007A30B2">
              <w:rPr>
                <w:rStyle w:val="Pogrubienie"/>
                <w:rFonts w:ascii="Times New Roman" w:hAnsi="Times New Roman" w:cs="Times New Roman"/>
                <w:b w:val="0"/>
                <w:sz w:val="20"/>
                <w:szCs w:val="20"/>
              </w:rPr>
              <w:t>Nagrodę Rzecznika Praw Dziecka</w:t>
            </w:r>
            <w:r w:rsidRPr="007A30B2">
              <w:rPr>
                <w:rFonts w:ascii="Times New Roman" w:hAnsi="Times New Roman" w:cs="Times New Roman"/>
                <w:b/>
                <w:sz w:val="20"/>
                <w:szCs w:val="20"/>
              </w:rPr>
              <w:t xml:space="preserve"> </w:t>
            </w:r>
            <w:r w:rsidRPr="007A30B2">
              <w:rPr>
                <w:rFonts w:ascii="Times New Roman" w:hAnsi="Times New Roman" w:cs="Times New Roman"/>
                <w:sz w:val="20"/>
                <w:szCs w:val="20"/>
              </w:rPr>
              <w:t>za najlepszą rozprawę doktorską badającą zagadnienia praw dziecka. Tytułowa kategori</w:t>
            </w:r>
            <w:r w:rsidR="00D2580D" w:rsidRPr="007A30B2">
              <w:rPr>
                <w:rFonts w:ascii="Times New Roman" w:hAnsi="Times New Roman" w:cs="Times New Roman"/>
                <w:sz w:val="20"/>
                <w:szCs w:val="20"/>
              </w:rPr>
              <w:t>a rytuału, stanowi</w:t>
            </w:r>
            <w:r w:rsidRPr="007A30B2">
              <w:rPr>
                <w:rFonts w:ascii="Times New Roman" w:hAnsi="Times New Roman" w:cs="Times New Roman"/>
                <w:sz w:val="20"/>
                <w:szCs w:val="20"/>
              </w:rPr>
              <w:t xml:space="preserve"> oś konstrukcyjną i myślową najnowszej książki badaczki – </w:t>
            </w:r>
            <w:r w:rsidR="00D2580D" w:rsidRPr="007A30B2">
              <w:rPr>
                <w:rFonts w:ascii="Times New Roman" w:hAnsi="Times New Roman" w:cs="Times New Roman"/>
                <w:sz w:val="20"/>
                <w:szCs w:val="20"/>
              </w:rPr>
              <w:t>„</w:t>
            </w:r>
            <w:r w:rsidRPr="007A30B2">
              <w:rPr>
                <w:rFonts w:ascii="Times New Roman" w:hAnsi="Times New Roman" w:cs="Times New Roman"/>
                <w:sz w:val="20"/>
                <w:szCs w:val="20"/>
              </w:rPr>
              <w:t>Uczeń (nie) biega i (nie) krzyczy</w:t>
            </w:r>
            <w:r w:rsidR="00D2580D" w:rsidRPr="007A30B2">
              <w:rPr>
                <w:rFonts w:ascii="Times New Roman" w:hAnsi="Times New Roman" w:cs="Times New Roman"/>
                <w:sz w:val="20"/>
                <w:szCs w:val="20"/>
              </w:rPr>
              <w:t xml:space="preserve">: rytuały oporu jako przejaw </w:t>
            </w:r>
            <w:proofErr w:type="spellStart"/>
            <w:r w:rsidR="00D2580D" w:rsidRPr="007A30B2">
              <w:rPr>
                <w:rFonts w:ascii="Times New Roman" w:hAnsi="Times New Roman" w:cs="Times New Roman"/>
                <w:sz w:val="20"/>
                <w:szCs w:val="20"/>
              </w:rPr>
              <w:t>autoekspresji</w:t>
            </w:r>
            <w:proofErr w:type="spellEnd"/>
            <w:r w:rsidR="00D2580D" w:rsidRPr="007A30B2">
              <w:rPr>
                <w:rFonts w:ascii="Times New Roman" w:hAnsi="Times New Roman" w:cs="Times New Roman"/>
                <w:sz w:val="20"/>
                <w:szCs w:val="20"/>
              </w:rPr>
              <w:t xml:space="preserve"> młodzieży”. Jest to zagadnienie, które bardzo rzadko pojawia się pedagogicznej literaturze przedmiotu, kojarząc się raczej z antropologią czy, szerzej, z kulturoznawstwem w ogóle. Tymczasem to właśnie w jednej </w:t>
            </w:r>
            <w:r w:rsidR="00D41D91">
              <w:rPr>
                <w:rFonts w:ascii="Times New Roman" w:hAnsi="Times New Roman" w:cs="Times New Roman"/>
                <w:sz w:val="20"/>
                <w:szCs w:val="20"/>
              </w:rPr>
              <w:t xml:space="preserve">                          </w:t>
            </w:r>
            <w:r w:rsidR="00D2580D" w:rsidRPr="007A30B2">
              <w:rPr>
                <w:rFonts w:ascii="Times New Roman" w:hAnsi="Times New Roman" w:cs="Times New Roman"/>
                <w:sz w:val="20"/>
                <w:szCs w:val="20"/>
              </w:rPr>
              <w:t xml:space="preserve">z najsilniej uregulowanych instytucji, jaką bez wątpienia jest szkoła, </w:t>
            </w:r>
            <w:proofErr w:type="spellStart"/>
            <w:r w:rsidR="00D2580D" w:rsidRPr="007A30B2">
              <w:rPr>
                <w:rFonts w:ascii="Times New Roman" w:hAnsi="Times New Roman" w:cs="Times New Roman"/>
                <w:sz w:val="20"/>
                <w:szCs w:val="20"/>
              </w:rPr>
              <w:t>Babicka-Wirkus</w:t>
            </w:r>
            <w:proofErr w:type="spellEnd"/>
            <w:r w:rsidR="00D2580D" w:rsidRPr="007A30B2">
              <w:rPr>
                <w:rFonts w:ascii="Times New Roman" w:hAnsi="Times New Roman" w:cs="Times New Roman"/>
                <w:sz w:val="20"/>
                <w:szCs w:val="20"/>
              </w:rPr>
              <w:t xml:space="preserve"> dostrzega znakomite pole dla wszelkich form </w:t>
            </w:r>
            <w:proofErr w:type="spellStart"/>
            <w:r w:rsidR="00D2580D" w:rsidRPr="007A30B2">
              <w:rPr>
                <w:rFonts w:ascii="Times New Roman" w:hAnsi="Times New Roman" w:cs="Times New Roman"/>
                <w:sz w:val="20"/>
                <w:szCs w:val="20"/>
              </w:rPr>
              <w:t>autoekspresji</w:t>
            </w:r>
            <w:proofErr w:type="spellEnd"/>
            <w:r w:rsidR="00D2580D" w:rsidRPr="007A30B2">
              <w:rPr>
                <w:rFonts w:ascii="Times New Roman" w:hAnsi="Times New Roman" w:cs="Times New Roman"/>
                <w:sz w:val="20"/>
                <w:szCs w:val="20"/>
              </w:rPr>
              <w:t xml:space="preserve"> oraz oporu. </w:t>
            </w:r>
            <w:r w:rsidR="00286B87" w:rsidRPr="007A30B2">
              <w:rPr>
                <w:rFonts w:ascii="Times New Roman" w:hAnsi="Times New Roman" w:cs="Times New Roman"/>
                <w:sz w:val="20"/>
                <w:szCs w:val="20"/>
              </w:rPr>
              <w:t xml:space="preserve">Autorka </w:t>
            </w:r>
            <w:r w:rsidR="007A30B2">
              <w:rPr>
                <w:rFonts w:ascii="Times New Roman" w:hAnsi="Times New Roman" w:cs="Times New Roman"/>
                <w:sz w:val="20"/>
                <w:szCs w:val="20"/>
              </w:rPr>
              <w:t xml:space="preserve">upomina się w </w:t>
            </w:r>
            <w:r w:rsidR="00286B87" w:rsidRPr="007A30B2">
              <w:rPr>
                <w:rFonts w:ascii="Times New Roman" w:hAnsi="Times New Roman" w:cs="Times New Roman"/>
                <w:sz w:val="20"/>
                <w:szCs w:val="20"/>
              </w:rPr>
              <w:t>książce o rozszerzenie i uzupełnienie spojrzenia na szkołę: już nie tylko jako na utrwalony w stereotypach ponury moloch, lecz także jako na kuźnię przyszłych rewolucjonistów, indywidualności, które będą w stanie zmienić zastany porządek i dopasować go do nowych potrzeb.</w:t>
            </w:r>
          </w:p>
          <w:p w:rsidR="0092719B" w:rsidRPr="007A30B2" w:rsidRDefault="0092719B" w:rsidP="0092719B">
            <w:pPr>
              <w:jc w:val="both"/>
              <w:rPr>
                <w:rFonts w:ascii="Times New Roman" w:hAnsi="Times New Roman" w:cs="Times New Roman"/>
                <w:i/>
                <w:sz w:val="20"/>
                <w:szCs w:val="20"/>
              </w:rPr>
            </w:pPr>
            <w:r w:rsidRPr="007A30B2">
              <w:rPr>
                <w:rFonts w:ascii="Times New Roman" w:hAnsi="Times New Roman" w:cs="Times New Roman"/>
                <w:i/>
                <w:sz w:val="20"/>
                <w:szCs w:val="20"/>
              </w:rPr>
              <w:t xml:space="preserve">Książka „Uczeń (nie) biega…” jest solidnym, erudycyjnym, akademickim oraz bardzo dobrze ugruntowanym teoretycznie i empirycznie studium na temat bierności i aktywności, zniewolenia i wolności ucznia. Odsłania szkolne mechanizmy braku czy ograniczania praw uczniów do </w:t>
            </w:r>
            <w:proofErr w:type="spellStart"/>
            <w:r w:rsidRPr="007A30B2">
              <w:rPr>
                <w:rFonts w:ascii="Times New Roman" w:hAnsi="Times New Roman" w:cs="Times New Roman"/>
                <w:i/>
                <w:sz w:val="20"/>
                <w:szCs w:val="20"/>
              </w:rPr>
              <w:t>autoekspresji</w:t>
            </w:r>
            <w:proofErr w:type="spellEnd"/>
            <w:r w:rsidRPr="007A30B2">
              <w:rPr>
                <w:rFonts w:ascii="Times New Roman" w:hAnsi="Times New Roman" w:cs="Times New Roman"/>
                <w:i/>
                <w:sz w:val="20"/>
                <w:szCs w:val="20"/>
              </w:rPr>
              <w:t>. Pokazuje uczniowskie rytuały oporu, a także powoli rodzące się w codzienności szkolnej obywatelstwo, podmiotowość i odpowiedzialność młodych ludzi za zmiany dokonujące się w szkole oraz za własne wizje rozwoju i miejsca w społeczeństwie. Jest to publikacja wybiegająca w przyszłość. Ujawnia z jednej strony podstawowe słabości polskiej szkoły, a z drugiej – daje nadzieję i wskazówki na zmianę.</w:t>
            </w:r>
          </w:p>
          <w:p w:rsidR="00286B87" w:rsidRPr="007A30B2" w:rsidRDefault="007A30B2" w:rsidP="0092719B">
            <w:pPr>
              <w:jc w:val="right"/>
              <w:rPr>
                <w:rFonts w:ascii="Times New Roman" w:hAnsi="Times New Roman" w:cs="Times New Roman"/>
                <w:sz w:val="20"/>
                <w:szCs w:val="20"/>
              </w:rPr>
            </w:pPr>
            <w:r w:rsidRPr="007A30B2">
              <w:rPr>
                <w:rFonts w:ascii="Times New Roman" w:hAnsi="Times New Roman" w:cs="Times New Roman"/>
                <w:sz w:val="16"/>
                <w:szCs w:val="16"/>
              </w:rPr>
              <w:t>[</w:t>
            </w:r>
            <w:r w:rsidR="0092719B" w:rsidRPr="007A30B2">
              <w:rPr>
                <w:rFonts w:ascii="Times New Roman" w:hAnsi="Times New Roman" w:cs="Times New Roman"/>
                <w:sz w:val="16"/>
                <w:szCs w:val="16"/>
              </w:rPr>
              <w:t xml:space="preserve">Z recenzji dr hab. Barbary </w:t>
            </w:r>
            <w:proofErr w:type="spellStart"/>
            <w:r w:rsidR="0092719B" w:rsidRPr="007A30B2">
              <w:rPr>
                <w:rFonts w:ascii="Times New Roman" w:hAnsi="Times New Roman" w:cs="Times New Roman"/>
                <w:sz w:val="16"/>
                <w:szCs w:val="16"/>
              </w:rPr>
              <w:t>Smolińskiej-Theiss</w:t>
            </w:r>
            <w:proofErr w:type="spellEnd"/>
            <w:r w:rsidR="0092719B" w:rsidRPr="007A30B2">
              <w:rPr>
                <w:rFonts w:ascii="Times New Roman" w:hAnsi="Times New Roman" w:cs="Times New Roman"/>
                <w:sz w:val="16"/>
                <w:szCs w:val="16"/>
              </w:rPr>
              <w:t>, prof. APS</w:t>
            </w:r>
            <w:r w:rsidRPr="007A30B2">
              <w:rPr>
                <w:rFonts w:ascii="Times New Roman" w:hAnsi="Times New Roman" w:cs="Times New Roman"/>
                <w:sz w:val="20"/>
                <w:szCs w:val="20"/>
              </w:rPr>
              <w:t>]</w:t>
            </w:r>
          </w:p>
          <w:p w:rsidR="007A30B2" w:rsidRPr="007A30B2" w:rsidRDefault="007A30B2" w:rsidP="007A30B2">
            <w:pPr>
              <w:rPr>
                <w:rFonts w:ascii="Times New Roman" w:hAnsi="Times New Roman" w:cs="Times New Roman"/>
                <w:sz w:val="16"/>
                <w:szCs w:val="16"/>
              </w:rPr>
            </w:pPr>
          </w:p>
          <w:p w:rsidR="00102682" w:rsidRPr="00102682" w:rsidRDefault="00175E63" w:rsidP="00F14E13">
            <w:pPr>
              <w:rPr>
                <w:rFonts w:ascii="Times New Roman" w:hAnsi="Times New Roman" w:cs="Times New Roman"/>
                <w:sz w:val="20"/>
                <w:szCs w:val="20"/>
              </w:rPr>
            </w:pPr>
            <w:r w:rsidRPr="007A30B2">
              <w:rPr>
                <w:rFonts w:ascii="Times New Roman" w:hAnsi="Times New Roman" w:cs="Times New Roman"/>
                <w:sz w:val="20"/>
                <w:szCs w:val="20"/>
              </w:rPr>
              <w:t>Lubaczów</w:t>
            </w:r>
            <w:r w:rsidR="00F14E13">
              <w:rPr>
                <w:rFonts w:ascii="Times New Roman" w:hAnsi="Times New Roman" w:cs="Times New Roman"/>
                <w:sz w:val="20"/>
                <w:szCs w:val="20"/>
              </w:rPr>
              <w:t xml:space="preserve"> </w:t>
            </w:r>
            <w:hyperlink r:id="rId11" w:history="1">
              <w:r w:rsidRPr="007A30B2">
                <w:rPr>
                  <w:rStyle w:val="Hipercze"/>
                  <w:rFonts w:ascii="Times New Roman" w:hAnsi="Times New Roman" w:cs="Times New Roman"/>
                  <w:color w:val="auto"/>
                  <w:sz w:val="20"/>
                  <w:szCs w:val="20"/>
                  <w:u w:val="none"/>
                </w:rPr>
                <w:t>WL</w:t>
              </w:r>
            </w:hyperlink>
            <w:r w:rsidRPr="007A30B2">
              <w:rPr>
                <w:rFonts w:ascii="Times New Roman" w:hAnsi="Times New Roman" w:cs="Times New Roman"/>
                <w:sz w:val="20"/>
                <w:szCs w:val="20"/>
              </w:rPr>
              <w:t> 49477</w:t>
            </w:r>
          </w:p>
        </w:tc>
        <w:tc>
          <w:tcPr>
            <w:tcW w:w="2441" w:type="dxa"/>
          </w:tcPr>
          <w:p w:rsidR="00175E63" w:rsidRDefault="00175E63" w:rsidP="0092719B">
            <w:pPr>
              <w:jc w:val="right"/>
              <w:rPr>
                <w:rFonts w:ascii="Verdana" w:hAnsi="Verdana"/>
                <w:noProof/>
                <w:color w:val="606165"/>
                <w:sz w:val="17"/>
                <w:szCs w:val="17"/>
                <w:lang w:eastAsia="pl-PL"/>
              </w:rPr>
            </w:pPr>
          </w:p>
          <w:p w:rsidR="00B166A2" w:rsidRDefault="00B166A2" w:rsidP="0092719B">
            <w:pPr>
              <w:jc w:val="right"/>
              <w:rPr>
                <w:rFonts w:ascii="Verdana" w:hAnsi="Verdana"/>
                <w:noProof/>
                <w:color w:val="606165"/>
                <w:sz w:val="17"/>
                <w:szCs w:val="17"/>
                <w:lang w:eastAsia="pl-PL"/>
              </w:rPr>
            </w:pPr>
            <w:r>
              <w:rPr>
                <w:rFonts w:ascii="Arial" w:hAnsi="Arial" w:cs="Arial"/>
                <w:noProof/>
                <w:color w:val="666666"/>
                <w:sz w:val="18"/>
                <w:szCs w:val="18"/>
                <w:lang w:eastAsia="pl-PL"/>
              </w:rPr>
              <w:drawing>
                <wp:anchor distT="0" distB="0" distL="114300" distR="114300" simplePos="0" relativeHeight="251660288" behindDoc="1" locked="0" layoutInCell="1" allowOverlap="1" wp14:anchorId="1BB5E987" wp14:editId="2CCC92FF">
                  <wp:simplePos x="0" y="0"/>
                  <wp:positionH relativeFrom="column">
                    <wp:posOffset>96520</wp:posOffset>
                  </wp:positionH>
                  <wp:positionV relativeFrom="paragraph">
                    <wp:posOffset>363855</wp:posOffset>
                  </wp:positionV>
                  <wp:extent cx="1191895" cy="1757045"/>
                  <wp:effectExtent l="0" t="0" r="8255" b="0"/>
                  <wp:wrapThrough wrapText="bothSides">
                    <wp:wrapPolygon edited="0">
                      <wp:start x="0" y="0"/>
                      <wp:lineTo x="0" y="21311"/>
                      <wp:lineTo x="21404" y="21311"/>
                      <wp:lineTo x="21404" y="0"/>
                      <wp:lineTo x="0" y="0"/>
                    </wp:wrapPolygon>
                  </wp:wrapThrough>
                  <wp:docPr id="3" name="Obraz 3" descr="http://impulsoficyna.com.pl/okladki/small/978-83-7850-546-4.jpg?v=0">
                    <a:hlinkClick xmlns:a="http://schemas.openxmlformats.org/drawingml/2006/main" r:id="rId12" tooltip="&quot;Uczeń (nie) biega i (nie) krzycz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pulsoficyna.com.pl/okladki/small/978-83-7850-546-4.jpg?v=0">
                            <a:hlinkClick r:id="rId12" tooltip="&quot;Uczeń (nie) biega i (nie) krzyczy&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1895" cy="1757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292F" w:rsidTr="007A30B2">
        <w:tc>
          <w:tcPr>
            <w:tcW w:w="6771" w:type="dxa"/>
          </w:tcPr>
          <w:p w:rsidR="00102682" w:rsidRPr="00102682" w:rsidRDefault="00102682" w:rsidP="00384719">
            <w:pPr>
              <w:jc w:val="both"/>
              <w:rPr>
                <w:rFonts w:ascii="Times New Roman" w:hAnsi="Times New Roman" w:cs="Times New Roman"/>
                <w:b/>
                <w:sz w:val="8"/>
                <w:szCs w:val="8"/>
              </w:rPr>
            </w:pPr>
          </w:p>
          <w:p w:rsidR="00384719" w:rsidRDefault="00384719" w:rsidP="00384719">
            <w:pPr>
              <w:jc w:val="both"/>
              <w:rPr>
                <w:rFonts w:ascii="Times New Roman" w:hAnsi="Times New Roman" w:cs="Times New Roman"/>
                <w:sz w:val="18"/>
                <w:szCs w:val="18"/>
              </w:rPr>
            </w:pPr>
            <w:r w:rsidRPr="00384719">
              <w:rPr>
                <w:rFonts w:ascii="Times New Roman" w:hAnsi="Times New Roman" w:cs="Times New Roman"/>
                <w:b/>
                <w:sz w:val="18"/>
                <w:szCs w:val="18"/>
              </w:rPr>
              <w:t xml:space="preserve">12 zasad skutecznej edukacji </w:t>
            </w:r>
            <w:r>
              <w:rPr>
                <w:rFonts w:ascii="Times New Roman" w:hAnsi="Times New Roman" w:cs="Times New Roman"/>
                <w:b/>
                <w:sz w:val="18"/>
                <w:szCs w:val="18"/>
              </w:rPr>
              <w:t xml:space="preserve">. </w:t>
            </w:r>
            <w:r w:rsidRPr="00384719">
              <w:rPr>
                <w:rFonts w:ascii="Times New Roman" w:hAnsi="Times New Roman" w:cs="Times New Roman"/>
                <w:b/>
                <w:sz w:val="18"/>
                <w:szCs w:val="18"/>
              </w:rPr>
              <w:t>Czyli jak uczyć, żeby nauczyć</w:t>
            </w:r>
            <w:r w:rsidRPr="00384719">
              <w:rPr>
                <w:rFonts w:ascii="Times New Roman" w:hAnsi="Times New Roman" w:cs="Times New Roman"/>
                <w:sz w:val="18"/>
                <w:szCs w:val="18"/>
              </w:rPr>
              <w:t xml:space="preserve"> / Przemysław Bąbel, Marzena Wiśniak. - Sopot : Gdańskie W</w:t>
            </w:r>
            <w:r>
              <w:rPr>
                <w:rFonts w:ascii="Times New Roman" w:hAnsi="Times New Roman" w:cs="Times New Roman"/>
                <w:sz w:val="18"/>
                <w:szCs w:val="18"/>
              </w:rPr>
              <w:t>ydawnictwo Psychologiczne, 2015</w:t>
            </w:r>
          </w:p>
          <w:p w:rsidR="00384719" w:rsidRDefault="00384719" w:rsidP="00384719">
            <w:pPr>
              <w:jc w:val="both"/>
              <w:rPr>
                <w:rFonts w:ascii="Times New Roman" w:hAnsi="Times New Roman" w:cs="Times New Roman"/>
                <w:sz w:val="18"/>
                <w:szCs w:val="18"/>
              </w:rPr>
            </w:pPr>
          </w:p>
          <w:p w:rsidR="00384719" w:rsidRPr="00384719" w:rsidRDefault="00384719" w:rsidP="00384719">
            <w:pPr>
              <w:jc w:val="both"/>
              <w:rPr>
                <w:rFonts w:ascii="Times New Roman" w:hAnsi="Times New Roman" w:cs="Times New Roman"/>
                <w:sz w:val="18"/>
                <w:szCs w:val="18"/>
              </w:rPr>
            </w:pPr>
            <w:r w:rsidRPr="00384719">
              <w:rPr>
                <w:rFonts w:ascii="Times New Roman" w:hAnsi="Times New Roman" w:cs="Times New Roman"/>
                <w:sz w:val="18"/>
                <w:szCs w:val="18"/>
              </w:rPr>
              <w:t xml:space="preserve">Poradnik </w:t>
            </w:r>
            <w:r>
              <w:rPr>
                <w:rFonts w:ascii="Times New Roman" w:hAnsi="Times New Roman" w:cs="Times New Roman"/>
                <w:sz w:val="18"/>
                <w:szCs w:val="18"/>
              </w:rPr>
              <w:t>„</w:t>
            </w:r>
            <w:r w:rsidRPr="00384719">
              <w:rPr>
                <w:rFonts w:ascii="Times New Roman" w:hAnsi="Times New Roman" w:cs="Times New Roman"/>
                <w:iCs/>
                <w:sz w:val="18"/>
                <w:szCs w:val="18"/>
              </w:rPr>
              <w:t>12 zasad skutecznej</w:t>
            </w:r>
            <w:r w:rsidRPr="00384719">
              <w:rPr>
                <w:rFonts w:ascii="Times New Roman" w:hAnsi="Times New Roman" w:cs="Times New Roman"/>
                <w:sz w:val="18"/>
                <w:szCs w:val="18"/>
              </w:rPr>
              <w:t xml:space="preserve"> edukacji</w:t>
            </w:r>
            <w:r>
              <w:rPr>
                <w:rFonts w:ascii="Times New Roman" w:hAnsi="Times New Roman" w:cs="Times New Roman"/>
                <w:sz w:val="18"/>
                <w:szCs w:val="18"/>
              </w:rPr>
              <w:t>…”</w:t>
            </w:r>
            <w:r w:rsidRPr="00384719">
              <w:rPr>
                <w:rFonts w:ascii="Times New Roman" w:hAnsi="Times New Roman" w:cs="Times New Roman"/>
                <w:sz w:val="18"/>
                <w:szCs w:val="18"/>
              </w:rPr>
              <w:t xml:space="preserve"> został napisany z myślą o wszystkich nauczycielach i edukatorach, którzy chcą uczyć w taki sposób, aby ich uczniowie rzeczywiście się nauczyli. Opierając się na swojej wiedzy i na doświadczeniu zdobytym podczas prowadzenia licznych warsztatów i szkoleń, autorzy sformułowali dwanaście uniwersalnych zasad skutecznej edukacji, wspólnych dla wszystkich typów, szczebli </w:t>
            </w:r>
            <w:r w:rsidR="00D41D91">
              <w:rPr>
                <w:rFonts w:ascii="Times New Roman" w:hAnsi="Times New Roman" w:cs="Times New Roman"/>
                <w:sz w:val="18"/>
                <w:szCs w:val="18"/>
              </w:rPr>
              <w:t xml:space="preserve">                        </w:t>
            </w:r>
            <w:r w:rsidRPr="00384719">
              <w:rPr>
                <w:rFonts w:ascii="Times New Roman" w:hAnsi="Times New Roman" w:cs="Times New Roman"/>
                <w:sz w:val="18"/>
                <w:szCs w:val="18"/>
              </w:rPr>
              <w:t>i form kształcenia.</w:t>
            </w:r>
          </w:p>
          <w:p w:rsidR="00384719" w:rsidRPr="00384719" w:rsidRDefault="00384719" w:rsidP="00384719">
            <w:pPr>
              <w:jc w:val="both"/>
              <w:rPr>
                <w:rFonts w:ascii="Times New Roman" w:hAnsi="Times New Roman" w:cs="Times New Roman"/>
                <w:sz w:val="18"/>
                <w:szCs w:val="18"/>
              </w:rPr>
            </w:pPr>
            <w:r w:rsidRPr="00384719">
              <w:rPr>
                <w:rFonts w:ascii="Times New Roman" w:hAnsi="Times New Roman" w:cs="Times New Roman"/>
                <w:sz w:val="18"/>
                <w:szCs w:val="18"/>
              </w:rPr>
              <w:t>Książka to praktyczny przewodnik pełen przykładów, wskazówek i technik do zastosowania w codziennej pracy w szkołach i innych placówkach edukacyjnych. Autorzy w zrozumiały sposób wyjaśniają znaczenie powiązań teorii z praktyką oraz omawiają między innymi takie zagadnienia, jak: grupowanie materiału, procesy koncentracji, wykorzystanie emocji w nauce, potrzeba przerw czy sposoby motywowania uczniów.</w:t>
            </w:r>
          </w:p>
          <w:p w:rsidR="00384719" w:rsidRPr="00384719" w:rsidRDefault="00384719" w:rsidP="00384719">
            <w:pPr>
              <w:jc w:val="both"/>
              <w:rPr>
                <w:rFonts w:ascii="Times New Roman" w:hAnsi="Times New Roman" w:cs="Times New Roman"/>
                <w:sz w:val="18"/>
                <w:szCs w:val="18"/>
              </w:rPr>
            </w:pPr>
            <w:r w:rsidRPr="00384719">
              <w:rPr>
                <w:rFonts w:ascii="Times New Roman" w:hAnsi="Times New Roman" w:cs="Times New Roman"/>
                <w:bCs/>
                <w:sz w:val="18"/>
                <w:szCs w:val="18"/>
              </w:rPr>
              <w:t>Dzięki opisanym w książce metodom i narzędziom nauczyciele:</w:t>
            </w:r>
          </w:p>
          <w:p w:rsidR="00384719" w:rsidRPr="00384719" w:rsidRDefault="00384719" w:rsidP="00384719">
            <w:pPr>
              <w:numPr>
                <w:ilvl w:val="0"/>
                <w:numId w:val="1"/>
              </w:numPr>
              <w:jc w:val="both"/>
              <w:rPr>
                <w:rFonts w:ascii="Times New Roman" w:hAnsi="Times New Roman" w:cs="Times New Roman"/>
                <w:sz w:val="18"/>
                <w:szCs w:val="18"/>
              </w:rPr>
            </w:pPr>
            <w:r w:rsidRPr="00384719">
              <w:rPr>
                <w:rFonts w:ascii="Times New Roman" w:hAnsi="Times New Roman" w:cs="Times New Roman"/>
                <w:sz w:val="18"/>
                <w:szCs w:val="18"/>
              </w:rPr>
              <w:t>zbudują podczas zajęć atmosferę sprzyjającą nauce,</w:t>
            </w:r>
          </w:p>
          <w:p w:rsidR="00384719" w:rsidRPr="00384719" w:rsidRDefault="00384719" w:rsidP="00384719">
            <w:pPr>
              <w:numPr>
                <w:ilvl w:val="0"/>
                <w:numId w:val="1"/>
              </w:numPr>
              <w:jc w:val="both"/>
              <w:rPr>
                <w:rFonts w:ascii="Times New Roman" w:hAnsi="Times New Roman" w:cs="Times New Roman"/>
                <w:sz w:val="18"/>
                <w:szCs w:val="18"/>
              </w:rPr>
            </w:pPr>
            <w:r w:rsidRPr="00384719">
              <w:rPr>
                <w:rFonts w:ascii="Times New Roman" w:hAnsi="Times New Roman" w:cs="Times New Roman"/>
                <w:sz w:val="18"/>
                <w:szCs w:val="18"/>
              </w:rPr>
              <w:t>pomogą uczniom zrozumieć, utrwalić i zapamiętać nauczane treści,</w:t>
            </w:r>
          </w:p>
          <w:p w:rsidR="00384719" w:rsidRPr="00384719" w:rsidRDefault="00384719" w:rsidP="00384719">
            <w:pPr>
              <w:numPr>
                <w:ilvl w:val="0"/>
                <w:numId w:val="1"/>
              </w:numPr>
              <w:jc w:val="both"/>
              <w:rPr>
                <w:rFonts w:ascii="Times New Roman" w:hAnsi="Times New Roman" w:cs="Times New Roman"/>
                <w:sz w:val="18"/>
                <w:szCs w:val="18"/>
              </w:rPr>
            </w:pPr>
            <w:r w:rsidRPr="00384719">
              <w:rPr>
                <w:rFonts w:ascii="Times New Roman" w:hAnsi="Times New Roman" w:cs="Times New Roman"/>
                <w:sz w:val="18"/>
                <w:szCs w:val="18"/>
              </w:rPr>
              <w:t>nauczą się wykorzystywać edukacyjny potencjał nowoczesnych technologii,</w:t>
            </w:r>
          </w:p>
          <w:p w:rsidR="00384719" w:rsidRPr="00384719" w:rsidRDefault="00384719" w:rsidP="00384719">
            <w:pPr>
              <w:numPr>
                <w:ilvl w:val="0"/>
                <w:numId w:val="1"/>
              </w:numPr>
              <w:jc w:val="both"/>
              <w:rPr>
                <w:rFonts w:ascii="Times New Roman" w:hAnsi="Times New Roman" w:cs="Times New Roman"/>
                <w:sz w:val="18"/>
                <w:szCs w:val="18"/>
              </w:rPr>
            </w:pPr>
            <w:r w:rsidRPr="00384719">
              <w:rPr>
                <w:rFonts w:ascii="Times New Roman" w:hAnsi="Times New Roman" w:cs="Times New Roman"/>
                <w:sz w:val="18"/>
                <w:szCs w:val="18"/>
              </w:rPr>
              <w:t>będą skutecznie nauczać, a ich uczniowie zaczną osiągać lepsze wyniki.</w:t>
            </w:r>
          </w:p>
          <w:p w:rsidR="00384719" w:rsidRPr="00384719" w:rsidRDefault="00384719" w:rsidP="00384719">
            <w:pPr>
              <w:jc w:val="both"/>
              <w:rPr>
                <w:rFonts w:ascii="Times New Roman" w:hAnsi="Times New Roman" w:cs="Times New Roman"/>
                <w:sz w:val="18"/>
                <w:szCs w:val="18"/>
              </w:rPr>
            </w:pPr>
          </w:p>
          <w:p w:rsidR="00D1292F" w:rsidRPr="0077117F" w:rsidRDefault="00384719" w:rsidP="00F14E13">
            <w:pPr>
              <w:jc w:val="both"/>
              <w:rPr>
                <w:rFonts w:ascii="Times New Roman" w:hAnsi="Times New Roman" w:cs="Times New Roman"/>
                <w:sz w:val="18"/>
                <w:szCs w:val="18"/>
              </w:rPr>
            </w:pPr>
            <w:r w:rsidRPr="0077117F">
              <w:rPr>
                <w:rFonts w:ascii="Times New Roman" w:hAnsi="Times New Roman" w:cs="Times New Roman"/>
                <w:sz w:val="18"/>
                <w:szCs w:val="18"/>
              </w:rPr>
              <w:t>Lubaczów </w:t>
            </w:r>
            <w:hyperlink r:id="rId14" w:history="1">
              <w:r w:rsidRPr="0077117F">
                <w:rPr>
                  <w:rFonts w:ascii="Times New Roman" w:hAnsi="Times New Roman" w:cs="Times New Roman"/>
                  <w:color w:val="111111"/>
                  <w:sz w:val="18"/>
                  <w:szCs w:val="18"/>
                </w:rPr>
                <w:t>WL</w:t>
              </w:r>
            </w:hyperlink>
            <w:r w:rsidRPr="0077117F">
              <w:rPr>
                <w:rFonts w:ascii="Times New Roman" w:hAnsi="Times New Roman" w:cs="Times New Roman"/>
                <w:sz w:val="18"/>
                <w:szCs w:val="18"/>
              </w:rPr>
              <w:t> 49296; Jarosław </w:t>
            </w:r>
            <w:hyperlink r:id="rId15" w:history="1">
              <w:r w:rsidRPr="0077117F">
                <w:rPr>
                  <w:rFonts w:ascii="Times New Roman" w:hAnsi="Times New Roman" w:cs="Times New Roman"/>
                  <w:color w:val="111111"/>
                  <w:sz w:val="18"/>
                  <w:szCs w:val="18"/>
                </w:rPr>
                <w:t>WJ</w:t>
              </w:r>
            </w:hyperlink>
            <w:r w:rsidRPr="0077117F">
              <w:rPr>
                <w:rFonts w:ascii="Times New Roman" w:hAnsi="Times New Roman" w:cs="Times New Roman"/>
                <w:sz w:val="18"/>
                <w:szCs w:val="18"/>
              </w:rPr>
              <w:t> 55758; Przeworsk </w:t>
            </w:r>
            <w:hyperlink r:id="rId16" w:history="1">
              <w:r w:rsidRPr="0077117F">
                <w:rPr>
                  <w:rFonts w:ascii="Times New Roman" w:hAnsi="Times New Roman" w:cs="Times New Roman"/>
                  <w:color w:val="111111"/>
                  <w:sz w:val="18"/>
                  <w:szCs w:val="18"/>
                </w:rPr>
                <w:t>WK</w:t>
              </w:r>
            </w:hyperlink>
            <w:r w:rsidRPr="0077117F">
              <w:rPr>
                <w:rFonts w:ascii="Times New Roman" w:hAnsi="Times New Roman" w:cs="Times New Roman"/>
                <w:sz w:val="18"/>
                <w:szCs w:val="18"/>
              </w:rPr>
              <w:t> 51865</w:t>
            </w:r>
          </w:p>
        </w:tc>
        <w:tc>
          <w:tcPr>
            <w:tcW w:w="2441" w:type="dxa"/>
          </w:tcPr>
          <w:p w:rsidR="00D1292F" w:rsidRDefault="00D1292F" w:rsidP="009F1A1B">
            <w:pPr>
              <w:jc w:val="center"/>
              <w:rPr>
                <w:rFonts w:ascii="Verdana" w:hAnsi="Verdana"/>
                <w:b/>
                <w:color w:val="365F91" w:themeColor="accent1" w:themeShade="BF"/>
                <w:sz w:val="24"/>
                <w:szCs w:val="24"/>
              </w:rPr>
            </w:pPr>
          </w:p>
          <w:p w:rsidR="00087ACD" w:rsidRDefault="00087ACD" w:rsidP="009F1A1B">
            <w:pPr>
              <w:jc w:val="center"/>
              <w:rPr>
                <w:rFonts w:ascii="Verdana" w:hAnsi="Verdana"/>
                <w:b/>
                <w:color w:val="365F91" w:themeColor="accent1" w:themeShade="BF"/>
                <w:sz w:val="24"/>
                <w:szCs w:val="24"/>
              </w:rPr>
            </w:pPr>
            <w:r>
              <w:rPr>
                <w:rFonts w:ascii="Verdana" w:hAnsi="Verdana"/>
                <w:noProof/>
                <w:color w:val="606165"/>
                <w:sz w:val="17"/>
                <w:szCs w:val="17"/>
                <w:lang w:eastAsia="pl-PL"/>
              </w:rPr>
              <w:drawing>
                <wp:anchor distT="0" distB="0" distL="114300" distR="114300" simplePos="0" relativeHeight="251659264" behindDoc="1" locked="0" layoutInCell="1" allowOverlap="1" wp14:anchorId="3F3007E5" wp14:editId="30ABAC11">
                  <wp:simplePos x="0" y="0"/>
                  <wp:positionH relativeFrom="column">
                    <wp:posOffset>52705</wp:posOffset>
                  </wp:positionH>
                  <wp:positionV relativeFrom="paragraph">
                    <wp:posOffset>250825</wp:posOffset>
                  </wp:positionV>
                  <wp:extent cx="1572895" cy="1682115"/>
                  <wp:effectExtent l="0" t="0" r="8255" b="0"/>
                  <wp:wrapThrough wrapText="bothSides">
                    <wp:wrapPolygon edited="0">
                      <wp:start x="0" y="0"/>
                      <wp:lineTo x="0" y="21282"/>
                      <wp:lineTo x="21452" y="21282"/>
                      <wp:lineTo x="21452" y="0"/>
                      <wp:lineTo x="0" y="0"/>
                    </wp:wrapPolygon>
                  </wp:wrapThrough>
                  <wp:docPr id="2" name="Obraz 2" descr="12 ZASAD SKUTECZNEJ EDUKACJI, CZYLI JAK UCZYĆ, ŻEBY NAUCZY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ZASAD SKUTECZNEJ EDUKACJI, CZYLI JAK UCZYĆ, ŻEBY NAUCZYĆ"/>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289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292F" w:rsidTr="007A30B2">
        <w:tc>
          <w:tcPr>
            <w:tcW w:w="6771" w:type="dxa"/>
          </w:tcPr>
          <w:p w:rsidR="00102682" w:rsidRPr="00102682" w:rsidRDefault="00102682" w:rsidP="00095183">
            <w:pPr>
              <w:jc w:val="both"/>
              <w:rPr>
                <w:rFonts w:ascii="Times New Roman" w:hAnsi="Times New Roman" w:cs="Times New Roman"/>
                <w:b/>
                <w:sz w:val="8"/>
                <w:szCs w:val="8"/>
              </w:rPr>
            </w:pPr>
          </w:p>
          <w:p w:rsidR="00095183" w:rsidRDefault="00095183" w:rsidP="00095183">
            <w:pPr>
              <w:jc w:val="both"/>
              <w:rPr>
                <w:rFonts w:ascii="Times New Roman" w:hAnsi="Times New Roman" w:cs="Times New Roman"/>
                <w:sz w:val="18"/>
                <w:szCs w:val="18"/>
              </w:rPr>
            </w:pPr>
            <w:r w:rsidRPr="00095183">
              <w:rPr>
                <w:rFonts w:ascii="Times New Roman" w:hAnsi="Times New Roman" w:cs="Times New Roman"/>
                <w:b/>
                <w:sz w:val="18"/>
                <w:szCs w:val="18"/>
              </w:rPr>
              <w:t>Edukacja małego dziecka. T. 7, Przemiany rodziny i jej funkcji : praca zbiorowa</w:t>
            </w:r>
            <w:r w:rsidRPr="00095183">
              <w:rPr>
                <w:rFonts w:ascii="Times New Roman" w:hAnsi="Times New Roman" w:cs="Times New Roman"/>
                <w:sz w:val="18"/>
                <w:szCs w:val="18"/>
              </w:rPr>
              <w:t xml:space="preserve"> / pod red. Ewy </w:t>
            </w:r>
            <w:proofErr w:type="spellStart"/>
            <w:r w:rsidRPr="00095183">
              <w:rPr>
                <w:rFonts w:ascii="Times New Roman" w:hAnsi="Times New Roman" w:cs="Times New Roman"/>
                <w:sz w:val="18"/>
                <w:szCs w:val="18"/>
              </w:rPr>
              <w:t>Ogrodzkiej</w:t>
            </w:r>
            <w:proofErr w:type="spellEnd"/>
            <w:r w:rsidRPr="00095183">
              <w:rPr>
                <w:rFonts w:ascii="Times New Roman" w:hAnsi="Times New Roman" w:cs="Times New Roman"/>
                <w:sz w:val="18"/>
                <w:szCs w:val="18"/>
              </w:rPr>
              <w:t xml:space="preserve">-Mazur, Urszuli Szuścik, Aleksandry </w:t>
            </w:r>
            <w:proofErr w:type="spellStart"/>
            <w:r w:rsidRPr="00095183">
              <w:rPr>
                <w:rFonts w:ascii="Times New Roman" w:hAnsi="Times New Roman" w:cs="Times New Roman"/>
                <w:sz w:val="18"/>
                <w:szCs w:val="18"/>
              </w:rPr>
              <w:t>Minczanowskiej</w:t>
            </w:r>
            <w:proofErr w:type="spellEnd"/>
            <w:r w:rsidRPr="00095183">
              <w:rPr>
                <w:rFonts w:ascii="Times New Roman" w:hAnsi="Times New Roman" w:cs="Times New Roman"/>
                <w:sz w:val="18"/>
                <w:szCs w:val="18"/>
              </w:rPr>
              <w:t>. - Cieszyn : Wydział Etnologii i Nauk o Edukacji Uniwersytetu Śląskiego ; Kraków : "Imp</w:t>
            </w:r>
            <w:r w:rsidR="00C4400C">
              <w:rPr>
                <w:rFonts w:ascii="Times New Roman" w:hAnsi="Times New Roman" w:cs="Times New Roman"/>
                <w:sz w:val="18"/>
                <w:szCs w:val="18"/>
              </w:rPr>
              <w:t>uls", 2015</w:t>
            </w:r>
          </w:p>
          <w:p w:rsidR="00095183" w:rsidRDefault="00095183" w:rsidP="00095183">
            <w:pPr>
              <w:jc w:val="both"/>
              <w:rPr>
                <w:rFonts w:ascii="Times New Roman" w:hAnsi="Times New Roman" w:cs="Times New Roman"/>
                <w:sz w:val="18"/>
                <w:szCs w:val="18"/>
              </w:rPr>
            </w:pPr>
          </w:p>
          <w:p w:rsidR="002F51B4" w:rsidRPr="002F51B4" w:rsidRDefault="002F51B4" w:rsidP="002F51B4">
            <w:pPr>
              <w:jc w:val="both"/>
              <w:rPr>
                <w:rFonts w:ascii="Times New Roman" w:hAnsi="Times New Roman" w:cs="Times New Roman"/>
                <w:sz w:val="18"/>
                <w:szCs w:val="18"/>
              </w:rPr>
            </w:pPr>
            <w:r w:rsidRPr="002F51B4">
              <w:rPr>
                <w:rFonts w:ascii="Times New Roman" w:hAnsi="Times New Roman" w:cs="Times New Roman"/>
                <w:sz w:val="18"/>
                <w:szCs w:val="18"/>
              </w:rPr>
              <w:t xml:space="preserve">Niniejsza publikacja to siódmy tom serii wydawniczej </w:t>
            </w:r>
            <w:r>
              <w:rPr>
                <w:rFonts w:ascii="Times New Roman" w:hAnsi="Times New Roman" w:cs="Times New Roman"/>
                <w:sz w:val="18"/>
                <w:szCs w:val="18"/>
              </w:rPr>
              <w:t>„</w:t>
            </w:r>
            <w:r w:rsidRPr="002F51B4">
              <w:rPr>
                <w:rFonts w:ascii="Times New Roman" w:hAnsi="Times New Roman" w:cs="Times New Roman"/>
                <w:sz w:val="18"/>
                <w:szCs w:val="18"/>
              </w:rPr>
              <w:t>Edukacja małego dziecka</w:t>
            </w:r>
            <w:r>
              <w:rPr>
                <w:rFonts w:ascii="Times New Roman" w:hAnsi="Times New Roman" w:cs="Times New Roman"/>
                <w:sz w:val="18"/>
                <w:szCs w:val="18"/>
              </w:rPr>
              <w:t>”</w:t>
            </w:r>
            <w:r w:rsidRPr="002F51B4">
              <w:rPr>
                <w:rFonts w:ascii="Times New Roman" w:hAnsi="Times New Roman" w:cs="Times New Roman"/>
                <w:sz w:val="18"/>
                <w:szCs w:val="18"/>
              </w:rPr>
              <w:t xml:space="preserve">. Tom poświęcony </w:t>
            </w:r>
            <w:r>
              <w:rPr>
                <w:rFonts w:ascii="Times New Roman" w:hAnsi="Times New Roman" w:cs="Times New Roman"/>
                <w:sz w:val="18"/>
                <w:szCs w:val="18"/>
              </w:rPr>
              <w:t xml:space="preserve">jest </w:t>
            </w:r>
            <w:r w:rsidRPr="002F51B4">
              <w:rPr>
                <w:rFonts w:ascii="Times New Roman" w:hAnsi="Times New Roman" w:cs="Times New Roman"/>
                <w:sz w:val="18"/>
                <w:szCs w:val="18"/>
              </w:rPr>
              <w:t xml:space="preserve">zagadnieniom rodziny w bardzo szerokim ujęciu teoretycznym </w:t>
            </w:r>
            <w:r w:rsidR="00D41D91">
              <w:rPr>
                <w:rFonts w:ascii="Times New Roman" w:hAnsi="Times New Roman" w:cs="Times New Roman"/>
                <w:sz w:val="18"/>
                <w:szCs w:val="18"/>
              </w:rPr>
              <w:t xml:space="preserve">                           </w:t>
            </w:r>
            <w:r w:rsidRPr="002F51B4">
              <w:rPr>
                <w:rFonts w:ascii="Times New Roman" w:hAnsi="Times New Roman" w:cs="Times New Roman"/>
                <w:sz w:val="18"/>
                <w:szCs w:val="18"/>
              </w:rPr>
              <w:t xml:space="preserve">i badawczym. Szczególny nacisk poszczególni autorzy położyli na rodzinę współczesną. </w:t>
            </w:r>
          </w:p>
          <w:p w:rsidR="002F51B4" w:rsidRPr="002F51B4" w:rsidRDefault="002F51B4" w:rsidP="002F51B4">
            <w:pPr>
              <w:jc w:val="both"/>
              <w:rPr>
                <w:rFonts w:ascii="Times New Roman" w:hAnsi="Times New Roman" w:cs="Times New Roman"/>
                <w:sz w:val="18"/>
                <w:szCs w:val="18"/>
              </w:rPr>
            </w:pPr>
            <w:r w:rsidRPr="002F51B4">
              <w:rPr>
                <w:rFonts w:ascii="Times New Roman" w:hAnsi="Times New Roman" w:cs="Times New Roman"/>
                <w:sz w:val="18"/>
                <w:szCs w:val="18"/>
              </w:rPr>
              <w:t>Tom siódmy składa się z czterech części.</w:t>
            </w:r>
            <w:r w:rsidRPr="002F51B4">
              <w:rPr>
                <w:rFonts w:ascii="Verdana" w:hAnsi="Verdana"/>
                <w:sz w:val="18"/>
                <w:szCs w:val="18"/>
              </w:rPr>
              <w:t xml:space="preserve"> </w:t>
            </w:r>
            <w:r w:rsidRPr="002F51B4">
              <w:rPr>
                <w:rFonts w:ascii="Times New Roman" w:hAnsi="Times New Roman" w:cs="Times New Roman"/>
                <w:sz w:val="18"/>
                <w:szCs w:val="18"/>
              </w:rPr>
              <w:t>Część pierwsza zawiera artykuły charakteryzujące przemiany zachodzące we współczesnej rodzinie</w:t>
            </w:r>
            <w:r>
              <w:rPr>
                <w:rFonts w:ascii="Times New Roman" w:hAnsi="Times New Roman" w:cs="Times New Roman"/>
                <w:sz w:val="18"/>
                <w:szCs w:val="18"/>
              </w:rPr>
              <w:t xml:space="preserve">. </w:t>
            </w:r>
            <w:r w:rsidRPr="002F51B4">
              <w:rPr>
                <w:rFonts w:ascii="Times New Roman" w:hAnsi="Times New Roman" w:cs="Times New Roman"/>
                <w:sz w:val="18"/>
                <w:szCs w:val="18"/>
              </w:rPr>
              <w:t>Części druga i trzecia opracowania charakteryzują doświadczenia wychowawcze dziecka, które wynikają ze zróżnicowań środowiska rodzinnego i wprowadzania dziecka w świat wartości.</w:t>
            </w:r>
            <w:r w:rsidRPr="002F51B4">
              <w:rPr>
                <w:rFonts w:ascii="Verdana" w:hAnsi="Verdana"/>
                <w:sz w:val="18"/>
                <w:szCs w:val="18"/>
              </w:rPr>
              <w:t xml:space="preserve"> </w:t>
            </w:r>
            <w:r w:rsidR="00D41D91">
              <w:rPr>
                <w:rFonts w:ascii="Verdana" w:hAnsi="Verdana"/>
                <w:sz w:val="18"/>
                <w:szCs w:val="18"/>
              </w:rPr>
              <w:t xml:space="preserve">                     </w:t>
            </w:r>
            <w:r w:rsidRPr="002F51B4">
              <w:rPr>
                <w:rFonts w:ascii="Times New Roman" w:hAnsi="Times New Roman" w:cs="Times New Roman"/>
                <w:sz w:val="18"/>
                <w:szCs w:val="18"/>
              </w:rPr>
              <w:t xml:space="preserve">W czwartej części </w:t>
            </w:r>
            <w:r>
              <w:rPr>
                <w:rFonts w:ascii="Times New Roman" w:hAnsi="Times New Roman" w:cs="Times New Roman"/>
                <w:sz w:val="18"/>
                <w:szCs w:val="18"/>
              </w:rPr>
              <w:t xml:space="preserve">autorzy </w:t>
            </w:r>
            <w:r w:rsidRPr="002F51B4">
              <w:rPr>
                <w:rFonts w:ascii="Times New Roman" w:hAnsi="Times New Roman" w:cs="Times New Roman"/>
                <w:sz w:val="18"/>
                <w:szCs w:val="18"/>
              </w:rPr>
              <w:t>poruszają problem doświadczeń twórczych i estetycznych dziecka, w jakie wprowadza się je przez różne formy kontaktu ze sztuką.</w:t>
            </w:r>
          </w:p>
          <w:p w:rsidR="00095183" w:rsidRDefault="00095183" w:rsidP="00095183">
            <w:pPr>
              <w:jc w:val="both"/>
              <w:rPr>
                <w:rFonts w:ascii="Times New Roman" w:hAnsi="Times New Roman" w:cs="Times New Roman"/>
                <w:sz w:val="18"/>
                <w:szCs w:val="18"/>
              </w:rPr>
            </w:pPr>
          </w:p>
          <w:p w:rsidR="00D1292F" w:rsidRPr="00095183" w:rsidRDefault="00095183" w:rsidP="00F14E13">
            <w:pPr>
              <w:jc w:val="both"/>
              <w:rPr>
                <w:rFonts w:ascii="Times New Roman" w:hAnsi="Times New Roman" w:cs="Times New Roman"/>
                <w:sz w:val="18"/>
                <w:szCs w:val="18"/>
              </w:rPr>
            </w:pPr>
            <w:r w:rsidRPr="00095183">
              <w:rPr>
                <w:rFonts w:ascii="Times New Roman" w:hAnsi="Times New Roman" w:cs="Times New Roman"/>
                <w:sz w:val="18"/>
                <w:szCs w:val="18"/>
              </w:rPr>
              <w:t>Przeworsk </w:t>
            </w:r>
            <w:hyperlink r:id="rId18" w:history="1">
              <w:r w:rsidRPr="00095183">
                <w:rPr>
                  <w:rStyle w:val="Hipercze"/>
                  <w:rFonts w:ascii="Times New Roman" w:hAnsi="Times New Roman" w:cs="Times New Roman"/>
                  <w:color w:val="auto"/>
                  <w:sz w:val="18"/>
                  <w:szCs w:val="18"/>
                  <w:u w:val="none"/>
                </w:rPr>
                <w:t>WK</w:t>
              </w:r>
            </w:hyperlink>
            <w:r w:rsidRPr="00095183">
              <w:rPr>
                <w:rFonts w:ascii="Times New Roman" w:hAnsi="Times New Roman" w:cs="Times New Roman"/>
                <w:sz w:val="18"/>
                <w:szCs w:val="18"/>
              </w:rPr>
              <w:t>  52070; Przemyśl </w:t>
            </w:r>
            <w:hyperlink r:id="rId19" w:history="1">
              <w:r w:rsidRPr="00095183">
                <w:rPr>
                  <w:rStyle w:val="Hipercze"/>
                  <w:rFonts w:ascii="Times New Roman" w:hAnsi="Times New Roman" w:cs="Times New Roman"/>
                  <w:color w:val="auto"/>
                  <w:sz w:val="18"/>
                  <w:szCs w:val="18"/>
                  <w:u w:val="none"/>
                </w:rPr>
                <w:t>WP</w:t>
              </w:r>
            </w:hyperlink>
            <w:r w:rsidRPr="00095183">
              <w:rPr>
                <w:rFonts w:ascii="Times New Roman" w:hAnsi="Times New Roman" w:cs="Times New Roman"/>
                <w:sz w:val="18"/>
                <w:szCs w:val="18"/>
              </w:rPr>
              <w:t> 108212</w:t>
            </w:r>
          </w:p>
        </w:tc>
        <w:tc>
          <w:tcPr>
            <w:tcW w:w="2441" w:type="dxa"/>
          </w:tcPr>
          <w:p w:rsidR="00D1292F" w:rsidRDefault="00095183" w:rsidP="009F1A1B">
            <w:pPr>
              <w:jc w:val="center"/>
              <w:rPr>
                <w:rFonts w:ascii="Verdana" w:hAnsi="Verdana"/>
                <w:b/>
                <w:color w:val="365F91" w:themeColor="accent1" w:themeShade="BF"/>
                <w:sz w:val="24"/>
                <w:szCs w:val="24"/>
              </w:rPr>
            </w:pPr>
            <w:r>
              <w:rPr>
                <w:rFonts w:ascii="Noticia Text" w:hAnsi="Noticia Text"/>
                <w:noProof/>
                <w:color w:val="333333"/>
                <w:sz w:val="18"/>
                <w:szCs w:val="18"/>
                <w:lang w:eastAsia="pl-PL"/>
              </w:rPr>
              <w:drawing>
                <wp:anchor distT="0" distB="0" distL="114300" distR="114300" simplePos="0" relativeHeight="251661312" behindDoc="1" locked="0" layoutInCell="1" allowOverlap="1" wp14:anchorId="44F4D3C7" wp14:editId="7F6D5DB1">
                  <wp:simplePos x="0" y="0"/>
                  <wp:positionH relativeFrom="column">
                    <wp:posOffset>154940</wp:posOffset>
                  </wp:positionH>
                  <wp:positionV relativeFrom="paragraph">
                    <wp:posOffset>156845</wp:posOffset>
                  </wp:positionV>
                  <wp:extent cx="1126490" cy="1665605"/>
                  <wp:effectExtent l="0" t="0" r="0" b="0"/>
                  <wp:wrapThrough wrapText="bothSides">
                    <wp:wrapPolygon edited="0">
                      <wp:start x="0" y="0"/>
                      <wp:lineTo x="0" y="21246"/>
                      <wp:lineTo x="21186" y="21246"/>
                      <wp:lineTo x="21186" y="0"/>
                      <wp:lineTo x="0" y="0"/>
                    </wp:wrapPolygon>
                  </wp:wrapThrough>
                  <wp:docPr id="4" name="Obraz 4" descr="http://wydawnictwo.us.edu.pl/sites/wydawnictwo.us.edu.pl/files/styles/uc_product/public/edukacja_malego_dziecka_t_7_okl.jpg?itok=NJ3fNPaP">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ydawnictwo.us.edu.pl/sites/wydawnictwo.us.edu.pl/files/styles/uc_product/public/edukacja_malego_dziecka_t_7_okl.jpg?itok=NJ3fNPaP">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6490" cy="16656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292F" w:rsidTr="007A30B2">
        <w:tc>
          <w:tcPr>
            <w:tcW w:w="6771" w:type="dxa"/>
          </w:tcPr>
          <w:p w:rsidR="00102682" w:rsidRPr="00102682" w:rsidRDefault="00102682" w:rsidP="00381DDB">
            <w:pPr>
              <w:jc w:val="both"/>
              <w:rPr>
                <w:rFonts w:ascii="Times New Roman" w:hAnsi="Times New Roman" w:cs="Times New Roman"/>
                <w:b/>
                <w:sz w:val="8"/>
                <w:szCs w:val="8"/>
              </w:rPr>
            </w:pPr>
          </w:p>
          <w:p w:rsidR="00381DDB" w:rsidRDefault="00381DDB" w:rsidP="00381DDB">
            <w:pPr>
              <w:jc w:val="both"/>
              <w:rPr>
                <w:rFonts w:ascii="Times New Roman" w:hAnsi="Times New Roman" w:cs="Times New Roman"/>
                <w:sz w:val="18"/>
                <w:szCs w:val="18"/>
              </w:rPr>
            </w:pPr>
            <w:r w:rsidRPr="00381DDB">
              <w:rPr>
                <w:rFonts w:ascii="Times New Roman" w:hAnsi="Times New Roman" w:cs="Times New Roman"/>
                <w:b/>
                <w:sz w:val="18"/>
                <w:szCs w:val="18"/>
              </w:rPr>
              <w:t>Edukacja małego dziecka. T. 8, Przedszkole - przemiany instytucji i jej funkcji : praca zbiorowa</w:t>
            </w:r>
            <w:r w:rsidRPr="00381DDB">
              <w:rPr>
                <w:rFonts w:ascii="Times New Roman" w:hAnsi="Times New Roman" w:cs="Times New Roman"/>
                <w:sz w:val="18"/>
                <w:szCs w:val="18"/>
              </w:rPr>
              <w:t xml:space="preserve"> / pod red. Ewy </w:t>
            </w:r>
            <w:proofErr w:type="spellStart"/>
            <w:r w:rsidRPr="00381DDB">
              <w:rPr>
                <w:rFonts w:ascii="Times New Roman" w:hAnsi="Times New Roman" w:cs="Times New Roman"/>
                <w:sz w:val="18"/>
                <w:szCs w:val="18"/>
              </w:rPr>
              <w:t>Ogrodzkiej</w:t>
            </w:r>
            <w:proofErr w:type="spellEnd"/>
            <w:r w:rsidRPr="00381DDB">
              <w:rPr>
                <w:rFonts w:ascii="Times New Roman" w:hAnsi="Times New Roman" w:cs="Times New Roman"/>
                <w:sz w:val="18"/>
                <w:szCs w:val="18"/>
              </w:rPr>
              <w:t xml:space="preserve">-Mazur, Urszuli Szuścik, Aleksandry </w:t>
            </w:r>
            <w:proofErr w:type="spellStart"/>
            <w:r w:rsidRPr="00381DDB">
              <w:rPr>
                <w:rFonts w:ascii="Times New Roman" w:hAnsi="Times New Roman" w:cs="Times New Roman"/>
                <w:sz w:val="18"/>
                <w:szCs w:val="18"/>
              </w:rPr>
              <w:t>Minczanowskiej</w:t>
            </w:r>
            <w:proofErr w:type="spellEnd"/>
            <w:r w:rsidRPr="00381DDB">
              <w:rPr>
                <w:rFonts w:ascii="Times New Roman" w:hAnsi="Times New Roman" w:cs="Times New Roman"/>
                <w:sz w:val="18"/>
                <w:szCs w:val="18"/>
              </w:rPr>
              <w:t>. - Cieszyn : Wydział Etnologii i Nauk o Edukacji Uniwersytetu Śląs</w:t>
            </w:r>
            <w:r w:rsidR="00C4400C">
              <w:rPr>
                <w:rFonts w:ascii="Times New Roman" w:hAnsi="Times New Roman" w:cs="Times New Roman"/>
                <w:sz w:val="18"/>
                <w:szCs w:val="18"/>
              </w:rPr>
              <w:t>kiego ; Kraków : "Impuls", 2015</w:t>
            </w:r>
          </w:p>
          <w:p w:rsidR="00381DDB" w:rsidRDefault="00381DDB" w:rsidP="00381DDB">
            <w:pPr>
              <w:jc w:val="both"/>
              <w:rPr>
                <w:rFonts w:ascii="Times New Roman" w:hAnsi="Times New Roman" w:cs="Times New Roman"/>
                <w:sz w:val="18"/>
                <w:szCs w:val="18"/>
              </w:rPr>
            </w:pPr>
          </w:p>
          <w:p w:rsidR="00D90A97" w:rsidRPr="00D90A97" w:rsidRDefault="00D90A97" w:rsidP="00D90A97">
            <w:pPr>
              <w:jc w:val="both"/>
              <w:rPr>
                <w:rFonts w:ascii="Times New Roman" w:hAnsi="Times New Roman" w:cs="Times New Roman"/>
                <w:sz w:val="18"/>
                <w:szCs w:val="18"/>
              </w:rPr>
            </w:pPr>
            <w:r w:rsidRPr="00D90A97">
              <w:rPr>
                <w:rFonts w:ascii="Times New Roman" w:hAnsi="Times New Roman" w:cs="Times New Roman"/>
                <w:sz w:val="18"/>
                <w:szCs w:val="18"/>
              </w:rPr>
              <w:t xml:space="preserve">Tom 8 serii </w:t>
            </w:r>
            <w:r>
              <w:rPr>
                <w:rFonts w:ascii="Times New Roman" w:hAnsi="Times New Roman" w:cs="Times New Roman"/>
                <w:sz w:val="18"/>
                <w:szCs w:val="18"/>
              </w:rPr>
              <w:t>„</w:t>
            </w:r>
            <w:r w:rsidRPr="00D90A97">
              <w:rPr>
                <w:rFonts w:ascii="Times New Roman" w:hAnsi="Times New Roman" w:cs="Times New Roman"/>
                <w:sz w:val="18"/>
                <w:szCs w:val="18"/>
              </w:rPr>
              <w:t>Edukacja małego dziecka</w:t>
            </w:r>
            <w:r>
              <w:rPr>
                <w:rFonts w:ascii="Times New Roman" w:hAnsi="Times New Roman" w:cs="Times New Roman"/>
                <w:sz w:val="18"/>
                <w:szCs w:val="18"/>
              </w:rPr>
              <w:t>”</w:t>
            </w:r>
            <w:r w:rsidRPr="00D90A97">
              <w:rPr>
                <w:rFonts w:ascii="Times New Roman" w:hAnsi="Times New Roman" w:cs="Times New Roman"/>
                <w:sz w:val="18"/>
                <w:szCs w:val="18"/>
              </w:rPr>
              <w:t xml:space="preserve">, zatytułowany Przedszkole – przemiany instytucji i jej funkcji, w całości został poświęcony zagadnieniom związanym z wychowaniem przedszkolnym. Okres wychowania przedszkolnego ma strategiczne znaczenie dla prawidłowego rozwoju dziecka. Jest to związane przede wszystkim z tym, że wszelkie wysiłki zmierzające do wyrównywania szans mają sens wówczas, gdy podejmowane są </w:t>
            </w:r>
            <w:r w:rsidR="00227ADD">
              <w:rPr>
                <w:rFonts w:ascii="Times New Roman" w:hAnsi="Times New Roman" w:cs="Times New Roman"/>
                <w:sz w:val="18"/>
                <w:szCs w:val="18"/>
              </w:rPr>
              <w:t xml:space="preserve">               </w:t>
            </w:r>
            <w:r w:rsidRPr="00D90A97">
              <w:rPr>
                <w:rFonts w:ascii="Times New Roman" w:hAnsi="Times New Roman" w:cs="Times New Roman"/>
                <w:sz w:val="18"/>
                <w:szCs w:val="18"/>
              </w:rPr>
              <w:t>w najwcześniejszych latach rozwoju, a więc w wieku 2–6 lat. Prezentowany tom obejmuje dwa główne zakresy tematyczne, ujęte w czterech częściach i odnoszące się po pierwsze – do przedszkola jako instytucji, w tym m.in. jej organizacji, warunków i kadry, a po drugie – do kompetencji związanych z jakościowym wymiarem przedszkolnej edukacji, w tym kompetencji nauczycieli-wychowawców oraz kompetencji dzieci.</w:t>
            </w:r>
          </w:p>
          <w:p w:rsidR="00D90A97" w:rsidRDefault="00D90A97" w:rsidP="00D90A97">
            <w:pPr>
              <w:jc w:val="both"/>
              <w:rPr>
                <w:rFonts w:ascii="Times New Roman" w:hAnsi="Times New Roman" w:cs="Times New Roman"/>
                <w:sz w:val="18"/>
                <w:szCs w:val="18"/>
              </w:rPr>
            </w:pPr>
            <w:r w:rsidRPr="00D90A97">
              <w:rPr>
                <w:rFonts w:ascii="Times New Roman" w:hAnsi="Times New Roman" w:cs="Times New Roman"/>
                <w:sz w:val="18"/>
                <w:szCs w:val="18"/>
              </w:rPr>
              <w:t xml:space="preserve">Część pierwsza nosi tytuł Przedszkole </w:t>
            </w:r>
            <w:r>
              <w:rPr>
                <w:rFonts w:ascii="Times New Roman" w:hAnsi="Times New Roman" w:cs="Times New Roman"/>
                <w:sz w:val="18"/>
                <w:szCs w:val="18"/>
              </w:rPr>
              <w:t>i nauczyciel-wychowawca w sytua</w:t>
            </w:r>
            <w:r w:rsidRPr="00D90A97">
              <w:rPr>
                <w:rFonts w:ascii="Times New Roman" w:hAnsi="Times New Roman" w:cs="Times New Roman"/>
                <w:sz w:val="18"/>
                <w:szCs w:val="18"/>
              </w:rPr>
              <w:t xml:space="preserve">cji zmiany. </w:t>
            </w:r>
          </w:p>
          <w:p w:rsidR="00D90A97" w:rsidRPr="00D90A97" w:rsidRDefault="00D90A97" w:rsidP="00D90A97">
            <w:pPr>
              <w:jc w:val="both"/>
              <w:rPr>
                <w:rFonts w:ascii="Times New Roman" w:hAnsi="Times New Roman" w:cs="Times New Roman"/>
                <w:sz w:val="18"/>
                <w:szCs w:val="18"/>
              </w:rPr>
            </w:pPr>
            <w:r>
              <w:rPr>
                <w:rFonts w:ascii="Times New Roman" w:hAnsi="Times New Roman" w:cs="Times New Roman"/>
                <w:sz w:val="18"/>
                <w:szCs w:val="18"/>
              </w:rPr>
              <w:t xml:space="preserve">Omówiono tu nowe role nauczyciela związane z wypełnianiem zadań formalnych oraz nowymi oczekiwaniami związanymi z przemianami społeczno- kulturowymi. </w:t>
            </w:r>
          </w:p>
          <w:p w:rsidR="00D90A97" w:rsidRPr="00D90A97" w:rsidRDefault="00D90A97" w:rsidP="00D90A97">
            <w:pPr>
              <w:jc w:val="both"/>
              <w:rPr>
                <w:rFonts w:ascii="Times New Roman" w:hAnsi="Times New Roman" w:cs="Times New Roman"/>
                <w:sz w:val="18"/>
                <w:szCs w:val="18"/>
              </w:rPr>
            </w:pPr>
            <w:r w:rsidRPr="00D90A97">
              <w:rPr>
                <w:rFonts w:ascii="Times New Roman" w:hAnsi="Times New Roman" w:cs="Times New Roman"/>
                <w:sz w:val="18"/>
                <w:szCs w:val="18"/>
              </w:rPr>
              <w:t xml:space="preserve">Kolejna część została zatytułowana Metody i formy pracy w przedszkolu – nowe możliwości edukacyjne tradycyjnych rozwiązań. </w:t>
            </w:r>
            <w:r>
              <w:rPr>
                <w:rFonts w:ascii="Times New Roman" w:hAnsi="Times New Roman" w:cs="Times New Roman"/>
                <w:sz w:val="18"/>
                <w:szCs w:val="18"/>
              </w:rPr>
              <w:t>Zwraca się tu uwagę, iż n</w:t>
            </w:r>
            <w:r w:rsidRPr="00D90A97">
              <w:rPr>
                <w:rFonts w:ascii="Times New Roman" w:hAnsi="Times New Roman" w:cs="Times New Roman"/>
                <w:sz w:val="18"/>
                <w:szCs w:val="18"/>
              </w:rPr>
              <w:t>auczyciel pracujący w przedszkolu – oprócz licznych kompetencji – powinien mieć odpowiedni zasób wiedzy metodycznej</w:t>
            </w:r>
            <w:r>
              <w:rPr>
                <w:rFonts w:ascii="Times New Roman" w:hAnsi="Times New Roman" w:cs="Times New Roman"/>
                <w:sz w:val="18"/>
                <w:szCs w:val="18"/>
              </w:rPr>
              <w:t>, na miarę XXI wieku.</w:t>
            </w:r>
            <w:r w:rsidRPr="00D90A97">
              <w:rPr>
                <w:rFonts w:ascii="Times New Roman" w:hAnsi="Times New Roman" w:cs="Times New Roman"/>
                <w:sz w:val="18"/>
                <w:szCs w:val="18"/>
              </w:rPr>
              <w:t>.</w:t>
            </w:r>
          </w:p>
          <w:p w:rsidR="00D90A97" w:rsidRDefault="00D90A97" w:rsidP="00D90A97">
            <w:pPr>
              <w:jc w:val="both"/>
              <w:rPr>
                <w:rFonts w:ascii="Times New Roman" w:hAnsi="Times New Roman" w:cs="Times New Roman"/>
                <w:sz w:val="18"/>
                <w:szCs w:val="18"/>
              </w:rPr>
            </w:pPr>
            <w:r w:rsidRPr="00D90A97">
              <w:rPr>
                <w:rFonts w:ascii="Times New Roman" w:hAnsi="Times New Roman" w:cs="Times New Roman"/>
                <w:sz w:val="18"/>
                <w:szCs w:val="18"/>
              </w:rPr>
              <w:t>Sztuka i twórczość w życiu małego dziecka</w:t>
            </w:r>
            <w:r w:rsidR="00822E53">
              <w:rPr>
                <w:rFonts w:ascii="Times New Roman" w:hAnsi="Times New Roman" w:cs="Times New Roman"/>
                <w:sz w:val="18"/>
                <w:szCs w:val="18"/>
              </w:rPr>
              <w:t xml:space="preserve"> -</w:t>
            </w:r>
            <w:r w:rsidRPr="00D90A97">
              <w:rPr>
                <w:rFonts w:ascii="Times New Roman" w:hAnsi="Times New Roman" w:cs="Times New Roman"/>
                <w:sz w:val="18"/>
                <w:szCs w:val="18"/>
              </w:rPr>
              <w:t xml:space="preserve"> to tytuł kolejnej części tomu. Sztuka </w:t>
            </w:r>
            <w:r w:rsidR="00227ADD">
              <w:rPr>
                <w:rFonts w:ascii="Times New Roman" w:hAnsi="Times New Roman" w:cs="Times New Roman"/>
                <w:sz w:val="18"/>
                <w:szCs w:val="18"/>
              </w:rPr>
              <w:t xml:space="preserve">                      </w:t>
            </w:r>
            <w:r w:rsidRPr="00D90A97">
              <w:rPr>
                <w:rFonts w:ascii="Times New Roman" w:hAnsi="Times New Roman" w:cs="Times New Roman"/>
                <w:sz w:val="18"/>
                <w:szCs w:val="18"/>
              </w:rPr>
              <w:t>w edukacji ujmowana jest nie tylko jako „[…] zwierciadło życia, lecz również jako instrument kształcenia</w:t>
            </w:r>
            <w:r w:rsidR="00822E53">
              <w:rPr>
                <w:rFonts w:ascii="Times New Roman" w:hAnsi="Times New Roman" w:cs="Times New Roman"/>
                <w:sz w:val="18"/>
                <w:szCs w:val="18"/>
              </w:rPr>
              <w:t xml:space="preserve"> człowieka, jako podręcznik życia”.</w:t>
            </w:r>
            <w:r w:rsidRPr="00D90A97">
              <w:rPr>
                <w:rFonts w:ascii="Times New Roman" w:hAnsi="Times New Roman" w:cs="Times New Roman"/>
                <w:sz w:val="18"/>
                <w:szCs w:val="18"/>
              </w:rPr>
              <w:t xml:space="preserve"> Kontakt ze sztuką jest ważnym elementem ludzkiej egzystencji</w:t>
            </w:r>
            <w:r w:rsidR="00182201">
              <w:rPr>
                <w:rFonts w:ascii="Times New Roman" w:hAnsi="Times New Roman" w:cs="Times New Roman"/>
                <w:sz w:val="18"/>
                <w:szCs w:val="18"/>
              </w:rPr>
              <w:t>. Może być również istotnym „narzędziem” w edukacji</w:t>
            </w:r>
            <w:r w:rsidRPr="00D90A97">
              <w:rPr>
                <w:rFonts w:ascii="Times New Roman" w:hAnsi="Times New Roman" w:cs="Times New Roman"/>
                <w:sz w:val="18"/>
                <w:szCs w:val="18"/>
              </w:rPr>
              <w:t xml:space="preserve">. </w:t>
            </w:r>
          </w:p>
          <w:p w:rsidR="00D90A97" w:rsidRDefault="00D90A97" w:rsidP="00D90A97">
            <w:pPr>
              <w:jc w:val="both"/>
              <w:rPr>
                <w:rFonts w:ascii="Times New Roman" w:hAnsi="Times New Roman" w:cs="Times New Roman"/>
                <w:sz w:val="18"/>
                <w:szCs w:val="18"/>
              </w:rPr>
            </w:pPr>
          </w:p>
          <w:p w:rsidR="00D1292F" w:rsidRPr="002E5F60" w:rsidRDefault="00F14E13" w:rsidP="00F14E13">
            <w:pPr>
              <w:jc w:val="both"/>
              <w:rPr>
                <w:rFonts w:ascii="Times New Roman" w:hAnsi="Times New Roman" w:cs="Times New Roman"/>
                <w:sz w:val="18"/>
                <w:szCs w:val="18"/>
              </w:rPr>
            </w:pPr>
            <w:r>
              <w:rPr>
                <w:rFonts w:ascii="Times New Roman" w:hAnsi="Times New Roman" w:cs="Times New Roman"/>
                <w:sz w:val="18"/>
                <w:szCs w:val="18"/>
              </w:rPr>
              <w:t>Przeworsk  </w:t>
            </w:r>
            <w:hyperlink r:id="rId22" w:history="1">
              <w:r w:rsidR="00381DDB" w:rsidRPr="00381DDB">
                <w:rPr>
                  <w:rFonts w:ascii="Times New Roman" w:hAnsi="Times New Roman" w:cs="Times New Roman"/>
                  <w:sz w:val="18"/>
                  <w:szCs w:val="18"/>
                </w:rPr>
                <w:t>WK</w:t>
              </w:r>
            </w:hyperlink>
            <w:r w:rsidR="00381DDB" w:rsidRPr="00381DDB">
              <w:rPr>
                <w:rFonts w:ascii="Times New Roman" w:hAnsi="Times New Roman" w:cs="Times New Roman"/>
                <w:sz w:val="18"/>
                <w:szCs w:val="18"/>
              </w:rPr>
              <w:t> 51999; Lubaczów </w:t>
            </w:r>
            <w:hyperlink r:id="rId23" w:history="1">
              <w:r w:rsidR="00381DDB" w:rsidRPr="002E5F60">
                <w:rPr>
                  <w:rFonts w:ascii="Times New Roman" w:hAnsi="Times New Roman" w:cs="Times New Roman"/>
                  <w:sz w:val="18"/>
                  <w:szCs w:val="18"/>
                </w:rPr>
                <w:t>WL</w:t>
              </w:r>
            </w:hyperlink>
            <w:r w:rsidR="00381DDB" w:rsidRPr="00381DDB">
              <w:rPr>
                <w:rFonts w:ascii="Times New Roman" w:hAnsi="Times New Roman" w:cs="Times New Roman"/>
                <w:sz w:val="18"/>
                <w:szCs w:val="18"/>
              </w:rPr>
              <w:t> 49505; Przemyśl </w:t>
            </w:r>
            <w:hyperlink r:id="rId24" w:history="1">
              <w:r w:rsidR="00381DDB" w:rsidRPr="00381DDB">
                <w:rPr>
                  <w:rFonts w:ascii="Times New Roman" w:hAnsi="Times New Roman" w:cs="Times New Roman"/>
                  <w:sz w:val="18"/>
                  <w:szCs w:val="18"/>
                </w:rPr>
                <w:t>WP</w:t>
              </w:r>
            </w:hyperlink>
            <w:r>
              <w:rPr>
                <w:rFonts w:ascii="Times New Roman" w:hAnsi="Times New Roman" w:cs="Times New Roman"/>
                <w:sz w:val="18"/>
                <w:szCs w:val="18"/>
              </w:rPr>
              <w:t xml:space="preserve"> </w:t>
            </w:r>
            <w:r w:rsidR="00381DDB" w:rsidRPr="00381DDB">
              <w:rPr>
                <w:rFonts w:ascii="Times New Roman" w:hAnsi="Times New Roman" w:cs="Times New Roman"/>
                <w:sz w:val="18"/>
                <w:szCs w:val="18"/>
              </w:rPr>
              <w:t>108213</w:t>
            </w:r>
          </w:p>
        </w:tc>
        <w:tc>
          <w:tcPr>
            <w:tcW w:w="2441" w:type="dxa"/>
          </w:tcPr>
          <w:p w:rsidR="00D1292F" w:rsidRDefault="00C0107B" w:rsidP="009F1A1B">
            <w:pPr>
              <w:jc w:val="center"/>
              <w:rPr>
                <w:rFonts w:ascii="Verdana" w:hAnsi="Verdana"/>
                <w:b/>
                <w:color w:val="365F91" w:themeColor="accent1" w:themeShade="BF"/>
                <w:sz w:val="24"/>
                <w:szCs w:val="24"/>
              </w:rPr>
            </w:pPr>
            <w:r>
              <w:rPr>
                <w:rFonts w:ascii="Verdana" w:hAnsi="Verdana"/>
                <w:b/>
                <w:noProof/>
                <w:color w:val="365F91" w:themeColor="accent1" w:themeShade="BF"/>
                <w:sz w:val="24"/>
                <w:szCs w:val="24"/>
                <w:lang w:eastAsia="pl-PL"/>
              </w:rPr>
              <w:drawing>
                <wp:anchor distT="0" distB="0" distL="114300" distR="114300" simplePos="0" relativeHeight="251662336" behindDoc="1" locked="0" layoutInCell="1" allowOverlap="1" wp14:anchorId="21B05ECA" wp14:editId="06313F3B">
                  <wp:simplePos x="0" y="0"/>
                  <wp:positionH relativeFrom="column">
                    <wp:posOffset>113665</wp:posOffset>
                  </wp:positionH>
                  <wp:positionV relativeFrom="paragraph">
                    <wp:posOffset>753745</wp:posOffset>
                  </wp:positionV>
                  <wp:extent cx="1170305" cy="1708785"/>
                  <wp:effectExtent l="0" t="0" r="0" b="5715"/>
                  <wp:wrapThrough wrapText="bothSides">
                    <wp:wrapPolygon edited="0">
                      <wp:start x="0" y="0"/>
                      <wp:lineTo x="0" y="21431"/>
                      <wp:lineTo x="21096" y="21431"/>
                      <wp:lineTo x="21096"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0305" cy="1708785"/>
                          </a:xfrm>
                          <a:prstGeom prst="rect">
                            <a:avLst/>
                          </a:prstGeom>
                          <a:noFill/>
                        </pic:spPr>
                      </pic:pic>
                    </a:graphicData>
                  </a:graphic>
                  <wp14:sizeRelH relativeFrom="page">
                    <wp14:pctWidth>0</wp14:pctWidth>
                  </wp14:sizeRelH>
                  <wp14:sizeRelV relativeFrom="page">
                    <wp14:pctHeight>0</wp14:pctHeight>
                  </wp14:sizeRelV>
                </wp:anchor>
              </w:drawing>
            </w:r>
          </w:p>
        </w:tc>
      </w:tr>
      <w:tr w:rsidR="00D1292F" w:rsidTr="007A30B2">
        <w:tc>
          <w:tcPr>
            <w:tcW w:w="6771" w:type="dxa"/>
          </w:tcPr>
          <w:p w:rsidR="000231E0" w:rsidRDefault="000231E0" w:rsidP="000231E0">
            <w:pPr>
              <w:jc w:val="both"/>
              <w:rPr>
                <w:rFonts w:ascii="Times New Roman" w:hAnsi="Times New Roman" w:cs="Times New Roman"/>
                <w:sz w:val="18"/>
                <w:szCs w:val="18"/>
              </w:rPr>
            </w:pPr>
            <w:r w:rsidRPr="000231E0">
              <w:rPr>
                <w:rFonts w:ascii="Times New Roman" w:hAnsi="Times New Roman" w:cs="Times New Roman"/>
                <w:b/>
                <w:sz w:val="18"/>
                <w:szCs w:val="18"/>
              </w:rPr>
              <w:lastRenderedPageBreak/>
              <w:t>Współczesna filozofia edukacji : kluczowe kwestie</w:t>
            </w:r>
            <w:r w:rsidRPr="000231E0">
              <w:rPr>
                <w:rFonts w:ascii="Times New Roman" w:hAnsi="Times New Roman" w:cs="Times New Roman"/>
                <w:sz w:val="18"/>
                <w:szCs w:val="18"/>
              </w:rPr>
              <w:t xml:space="preserve"> / Andrzej Mu</w:t>
            </w:r>
            <w:r w:rsidR="00C4400C">
              <w:rPr>
                <w:rFonts w:ascii="Times New Roman" w:hAnsi="Times New Roman" w:cs="Times New Roman"/>
                <w:sz w:val="18"/>
                <w:szCs w:val="18"/>
              </w:rPr>
              <w:t>rzyn. - Kraków : "Impuls", 2015</w:t>
            </w:r>
          </w:p>
          <w:p w:rsidR="000231E0" w:rsidRDefault="000231E0" w:rsidP="000231E0">
            <w:pPr>
              <w:jc w:val="both"/>
              <w:rPr>
                <w:rFonts w:ascii="Times New Roman" w:hAnsi="Times New Roman" w:cs="Times New Roman"/>
                <w:sz w:val="18"/>
                <w:szCs w:val="18"/>
              </w:rPr>
            </w:pPr>
          </w:p>
          <w:p w:rsidR="000231E0" w:rsidRPr="000231E0" w:rsidRDefault="000231E0" w:rsidP="000231E0">
            <w:pPr>
              <w:jc w:val="both"/>
              <w:rPr>
                <w:rFonts w:ascii="Times New Roman" w:hAnsi="Times New Roman" w:cs="Times New Roman"/>
                <w:sz w:val="18"/>
                <w:szCs w:val="18"/>
              </w:rPr>
            </w:pPr>
            <w:r w:rsidRPr="000231E0">
              <w:rPr>
                <w:rFonts w:ascii="Times New Roman" w:hAnsi="Times New Roman" w:cs="Times New Roman"/>
                <w:sz w:val="18"/>
                <w:szCs w:val="18"/>
              </w:rPr>
              <w:t xml:space="preserve">Celem niniejszej książki jest wprowadzenie czytelnika w kluczowe zagadnienia edukacyjne XXI wieku, zainspirowanie go do refleksji nad rolą pedagoga i nauczyciela na płaszczyźnie wyjaśniania dzieciom, uczącej się młodzieży oraz wszystkim osobom zainteresowanym nieustannym dokształcaniem się coraz bardziej złożonych problemów współczesnego świata. Autorowi chodzi przede wszystkim o to, aby zaproponowana struktura i układ zależności między poszczególnymi zagadnieniami stały się dla odbiorcy czymś znacznie więcej niż kolejnym paradygmatem, który należy po prostu przyswoić </w:t>
            </w:r>
            <w:r w:rsidR="00227ADD">
              <w:rPr>
                <w:rFonts w:ascii="Times New Roman" w:hAnsi="Times New Roman" w:cs="Times New Roman"/>
                <w:sz w:val="18"/>
                <w:szCs w:val="18"/>
              </w:rPr>
              <w:t xml:space="preserve">      </w:t>
            </w:r>
            <w:r w:rsidRPr="000231E0">
              <w:rPr>
                <w:rFonts w:ascii="Times New Roman" w:hAnsi="Times New Roman" w:cs="Times New Roman"/>
                <w:sz w:val="18"/>
                <w:szCs w:val="18"/>
              </w:rPr>
              <w:t>i w odpowiednim momencie odtworzyć. Chciałby, aby grono osób, dla których kryterium problemowe stanowi drogowskaz zarówno w teorii, jak i w praktyce edukacyjnej, było jak największe.</w:t>
            </w:r>
          </w:p>
          <w:p w:rsidR="000231E0" w:rsidRPr="000231E0" w:rsidRDefault="000231E0" w:rsidP="000231E0">
            <w:pPr>
              <w:jc w:val="both"/>
              <w:rPr>
                <w:rFonts w:ascii="Times New Roman" w:hAnsi="Times New Roman" w:cs="Times New Roman"/>
                <w:sz w:val="18"/>
                <w:szCs w:val="18"/>
              </w:rPr>
            </w:pPr>
          </w:p>
          <w:p w:rsidR="00D1292F" w:rsidRPr="002E5F60" w:rsidRDefault="000231E0" w:rsidP="00F14E13">
            <w:pPr>
              <w:jc w:val="both"/>
              <w:rPr>
                <w:rFonts w:ascii="Times New Roman" w:hAnsi="Times New Roman" w:cs="Times New Roman"/>
                <w:sz w:val="18"/>
                <w:szCs w:val="18"/>
              </w:rPr>
            </w:pPr>
            <w:r w:rsidRPr="002E5F60">
              <w:rPr>
                <w:rFonts w:ascii="Times New Roman" w:hAnsi="Times New Roman" w:cs="Times New Roman"/>
                <w:sz w:val="18"/>
                <w:szCs w:val="18"/>
              </w:rPr>
              <w:t>Lubaczów</w:t>
            </w:r>
            <w:r w:rsidR="00F14E13">
              <w:rPr>
                <w:rFonts w:ascii="Times New Roman" w:hAnsi="Times New Roman" w:cs="Times New Roman"/>
                <w:sz w:val="18"/>
                <w:szCs w:val="18"/>
              </w:rPr>
              <w:t xml:space="preserve"> </w:t>
            </w:r>
            <w:hyperlink r:id="rId26" w:history="1">
              <w:r w:rsidRPr="002E5F60">
                <w:rPr>
                  <w:rFonts w:ascii="Times New Roman" w:hAnsi="Times New Roman" w:cs="Times New Roman"/>
                  <w:sz w:val="18"/>
                  <w:szCs w:val="18"/>
                </w:rPr>
                <w:t>WL</w:t>
              </w:r>
            </w:hyperlink>
            <w:r w:rsidRPr="002E5F60">
              <w:rPr>
                <w:rFonts w:ascii="Times New Roman" w:hAnsi="Times New Roman" w:cs="Times New Roman"/>
                <w:sz w:val="18"/>
                <w:szCs w:val="18"/>
              </w:rPr>
              <w:t> 49479; Przemyśl </w:t>
            </w:r>
            <w:hyperlink r:id="rId27" w:history="1">
              <w:r w:rsidRPr="002E5F60">
                <w:rPr>
                  <w:rFonts w:ascii="Times New Roman" w:hAnsi="Times New Roman" w:cs="Times New Roman"/>
                  <w:sz w:val="18"/>
                  <w:szCs w:val="18"/>
                </w:rPr>
                <w:t>WP</w:t>
              </w:r>
            </w:hyperlink>
            <w:r w:rsidR="00F14E13">
              <w:rPr>
                <w:rFonts w:ascii="Times New Roman" w:hAnsi="Times New Roman" w:cs="Times New Roman"/>
                <w:sz w:val="18"/>
                <w:szCs w:val="18"/>
              </w:rPr>
              <w:t xml:space="preserve"> </w:t>
            </w:r>
            <w:r w:rsidRPr="002E5F60">
              <w:rPr>
                <w:rFonts w:ascii="Times New Roman" w:hAnsi="Times New Roman" w:cs="Times New Roman"/>
                <w:sz w:val="18"/>
                <w:szCs w:val="18"/>
              </w:rPr>
              <w:t>108054</w:t>
            </w:r>
          </w:p>
        </w:tc>
        <w:tc>
          <w:tcPr>
            <w:tcW w:w="2441" w:type="dxa"/>
          </w:tcPr>
          <w:p w:rsidR="00D1292F" w:rsidRDefault="000231E0" w:rsidP="009F1A1B">
            <w:pPr>
              <w:jc w:val="center"/>
              <w:rPr>
                <w:rFonts w:ascii="Verdana" w:hAnsi="Verdana"/>
                <w:b/>
                <w:color w:val="365F91" w:themeColor="accent1" w:themeShade="BF"/>
                <w:sz w:val="24"/>
                <w:szCs w:val="24"/>
              </w:rPr>
            </w:pPr>
            <w:r>
              <w:rPr>
                <w:rFonts w:ascii="Open Sans" w:hAnsi="Open Sans"/>
                <w:noProof/>
                <w:color w:val="756A12"/>
                <w:sz w:val="21"/>
                <w:szCs w:val="21"/>
                <w:lang w:eastAsia="pl-PL"/>
              </w:rPr>
              <w:drawing>
                <wp:anchor distT="0" distB="0" distL="114300" distR="114300" simplePos="0" relativeHeight="251663360" behindDoc="1" locked="0" layoutInCell="1" allowOverlap="1" wp14:anchorId="2A5377BA" wp14:editId="5F24E460">
                  <wp:simplePos x="0" y="0"/>
                  <wp:positionH relativeFrom="column">
                    <wp:posOffset>103505</wp:posOffset>
                  </wp:positionH>
                  <wp:positionV relativeFrom="paragraph">
                    <wp:posOffset>219710</wp:posOffset>
                  </wp:positionV>
                  <wp:extent cx="1114425" cy="1586865"/>
                  <wp:effectExtent l="0" t="0" r="9525" b="0"/>
                  <wp:wrapThrough wrapText="bothSides">
                    <wp:wrapPolygon edited="0">
                      <wp:start x="0" y="0"/>
                      <wp:lineTo x="0" y="21263"/>
                      <wp:lineTo x="21415" y="21263"/>
                      <wp:lineTo x="21415" y="0"/>
                      <wp:lineTo x="0" y="0"/>
                    </wp:wrapPolygon>
                  </wp:wrapThrough>
                  <wp:docPr id="6" name="Obraz 6" descr="Okładka książki Współczesna filozofia edukacji. Kluczowe kwesti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ładka książki Współczesna filozofia edukacji. Kluczowe kwestie">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4425" cy="15868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292F" w:rsidTr="007A30B2">
        <w:tc>
          <w:tcPr>
            <w:tcW w:w="6771" w:type="dxa"/>
          </w:tcPr>
          <w:p w:rsidR="00C4400C" w:rsidRDefault="00F14E13" w:rsidP="00C4400C">
            <w:pPr>
              <w:jc w:val="both"/>
              <w:rPr>
                <w:rFonts w:ascii="Times New Roman" w:hAnsi="Times New Roman" w:cs="Times New Roman"/>
                <w:sz w:val="18"/>
                <w:szCs w:val="18"/>
              </w:rPr>
            </w:pPr>
            <w:hyperlink r:id="rId30" w:history="1">
              <w:r w:rsidR="00C4400C" w:rsidRPr="00C4400C">
                <w:rPr>
                  <w:rFonts w:ascii="Times New Roman" w:hAnsi="Times New Roman" w:cs="Times New Roman"/>
                  <w:b/>
                  <w:sz w:val="18"/>
                  <w:szCs w:val="18"/>
                </w:rPr>
                <w:t xml:space="preserve">Śmiech w edukacji : od szkolnej wspólnoty śmiechu po edukację międzykulturową </w:t>
              </w:r>
              <w:r w:rsidR="00C4400C" w:rsidRPr="00C4400C">
                <w:rPr>
                  <w:rFonts w:ascii="Times New Roman" w:hAnsi="Times New Roman" w:cs="Times New Roman"/>
                  <w:sz w:val="18"/>
                  <w:szCs w:val="18"/>
                </w:rPr>
                <w:t>/ Przemysław Paweł Grzy</w:t>
              </w:r>
              <w:r w:rsidR="00C4400C">
                <w:rPr>
                  <w:rFonts w:ascii="Times New Roman" w:hAnsi="Times New Roman" w:cs="Times New Roman"/>
                  <w:sz w:val="18"/>
                  <w:szCs w:val="18"/>
                </w:rPr>
                <w:t>bowski. - Kraków : Impuls, 2015</w:t>
              </w:r>
              <w:r w:rsidR="00C4400C" w:rsidRPr="00C4400C">
                <w:rPr>
                  <w:rFonts w:ascii="Times New Roman" w:hAnsi="Times New Roman" w:cs="Times New Roman"/>
                  <w:sz w:val="18"/>
                  <w:szCs w:val="18"/>
                </w:rPr>
                <w:t xml:space="preserve"> </w:t>
              </w:r>
            </w:hyperlink>
          </w:p>
          <w:p w:rsidR="00F92E88" w:rsidRDefault="00F92E88" w:rsidP="00C4400C">
            <w:pPr>
              <w:jc w:val="both"/>
              <w:rPr>
                <w:rFonts w:ascii="Times New Roman" w:hAnsi="Times New Roman" w:cs="Times New Roman"/>
                <w:sz w:val="18"/>
                <w:szCs w:val="18"/>
              </w:rPr>
            </w:pPr>
          </w:p>
          <w:p w:rsidR="00B40835" w:rsidRDefault="00F92E88" w:rsidP="00B40835">
            <w:pPr>
              <w:jc w:val="both"/>
              <w:rPr>
                <w:rFonts w:ascii="Times New Roman" w:hAnsi="Times New Roman" w:cs="Times New Roman"/>
                <w:sz w:val="18"/>
                <w:szCs w:val="18"/>
              </w:rPr>
            </w:pPr>
            <w:r>
              <w:rPr>
                <w:rFonts w:ascii="Times New Roman" w:hAnsi="Times New Roman" w:cs="Times New Roman"/>
                <w:sz w:val="18"/>
                <w:szCs w:val="18"/>
              </w:rPr>
              <w:t xml:space="preserve">Śmiech wpływa korzystnie na pracę serca, płuc, mózgu, a tym samym przyczynia się do lepszego funkcjonowania naszego organizmu. </w:t>
            </w:r>
            <w:r w:rsidRPr="00F92E88">
              <w:rPr>
                <w:rFonts w:ascii="Times New Roman" w:hAnsi="Times New Roman" w:cs="Times New Roman"/>
                <w:sz w:val="18"/>
                <w:szCs w:val="18"/>
              </w:rPr>
              <w:t>Nie bez przyczyny mówi się</w:t>
            </w:r>
            <w:r>
              <w:rPr>
                <w:rFonts w:ascii="Times New Roman" w:hAnsi="Times New Roman" w:cs="Times New Roman"/>
                <w:sz w:val="18"/>
                <w:szCs w:val="18"/>
              </w:rPr>
              <w:t xml:space="preserve"> więc</w:t>
            </w:r>
            <w:r w:rsidRPr="00F92E88">
              <w:rPr>
                <w:rFonts w:ascii="Times New Roman" w:hAnsi="Times New Roman" w:cs="Times New Roman"/>
                <w:sz w:val="18"/>
                <w:szCs w:val="18"/>
              </w:rPr>
              <w:t>, że śmiech to zdrowie</w:t>
            </w:r>
            <w:r>
              <w:rPr>
                <w:rFonts w:ascii="Times New Roman" w:hAnsi="Times New Roman" w:cs="Times New Roman"/>
                <w:sz w:val="18"/>
                <w:szCs w:val="18"/>
              </w:rPr>
              <w:t xml:space="preserve">. </w:t>
            </w:r>
          </w:p>
          <w:p w:rsidR="00B40835" w:rsidRDefault="00F92E88" w:rsidP="00B40835">
            <w:pPr>
              <w:jc w:val="both"/>
              <w:rPr>
                <w:rFonts w:ascii="Times New Roman" w:hAnsi="Times New Roman" w:cs="Times New Roman"/>
                <w:sz w:val="18"/>
                <w:szCs w:val="18"/>
              </w:rPr>
            </w:pPr>
            <w:r w:rsidRPr="00F92E88">
              <w:rPr>
                <w:rFonts w:ascii="Times New Roman" w:hAnsi="Times New Roman" w:cs="Times New Roman"/>
                <w:sz w:val="18"/>
                <w:szCs w:val="18"/>
              </w:rPr>
              <w:t xml:space="preserve">Co jednak wspólnego ma śmiech z edukacją? W jaki sposób jest wykorzystywany </w:t>
            </w:r>
            <w:r w:rsidR="001163BB">
              <w:rPr>
                <w:rFonts w:ascii="Times New Roman" w:hAnsi="Times New Roman" w:cs="Times New Roman"/>
                <w:sz w:val="18"/>
                <w:szCs w:val="18"/>
              </w:rPr>
              <w:t xml:space="preserve">                        </w:t>
            </w:r>
            <w:r w:rsidRPr="00F92E88">
              <w:rPr>
                <w:rFonts w:ascii="Times New Roman" w:hAnsi="Times New Roman" w:cs="Times New Roman"/>
                <w:sz w:val="18"/>
                <w:szCs w:val="18"/>
              </w:rPr>
              <w:t>w procesie dydaktycznym? Jak wpływa na rozwój dziecka?</w:t>
            </w:r>
            <w:r w:rsidR="00B40835">
              <w:rPr>
                <w:rFonts w:ascii="Times New Roman" w:hAnsi="Times New Roman" w:cs="Times New Roman"/>
                <w:sz w:val="18"/>
                <w:szCs w:val="18"/>
              </w:rPr>
              <w:t xml:space="preserve"> </w:t>
            </w:r>
            <w:r w:rsidR="00B40835" w:rsidRPr="00B40835">
              <w:rPr>
                <w:rFonts w:ascii="Times New Roman" w:hAnsi="Times New Roman" w:cs="Times New Roman"/>
                <w:sz w:val="18"/>
                <w:szCs w:val="18"/>
              </w:rPr>
              <w:t>Na te pytania próbuje odpowiedzieć obszerna monografia „</w:t>
            </w:r>
            <w:r w:rsidR="00B40835" w:rsidRPr="00B40835">
              <w:rPr>
                <w:rFonts w:ascii="Times New Roman" w:hAnsi="Times New Roman" w:cs="Times New Roman"/>
                <w:iCs/>
                <w:sz w:val="18"/>
                <w:szCs w:val="18"/>
              </w:rPr>
              <w:t>Śmiech w edukacji. Od szkolnej wspólnoty śmiechu po edukację międzykulturową</w:t>
            </w:r>
            <w:r w:rsidR="00B40835" w:rsidRPr="00B40835">
              <w:rPr>
                <w:rFonts w:ascii="Times New Roman" w:hAnsi="Times New Roman" w:cs="Times New Roman"/>
                <w:sz w:val="18"/>
                <w:szCs w:val="18"/>
              </w:rPr>
              <w:t xml:space="preserve">”. Praca dotycząca śmiechu jest bez najbardziej obszerną publikacją na polskim rynku, jedną z nielicznych poświęconych tej tematyce. To nieoceniona pomoc dla nauczycieli, pedagogów, filologów, dla osób pracujących </w:t>
            </w:r>
            <w:r w:rsidR="001163BB">
              <w:rPr>
                <w:rFonts w:ascii="Times New Roman" w:hAnsi="Times New Roman" w:cs="Times New Roman"/>
                <w:sz w:val="18"/>
                <w:szCs w:val="18"/>
              </w:rPr>
              <w:t xml:space="preserve">                       </w:t>
            </w:r>
            <w:r w:rsidR="00B40835" w:rsidRPr="00B40835">
              <w:rPr>
                <w:rFonts w:ascii="Times New Roman" w:hAnsi="Times New Roman" w:cs="Times New Roman"/>
                <w:sz w:val="18"/>
                <w:szCs w:val="18"/>
              </w:rPr>
              <w:t>w zawodach pokrewnych, a także dla studentów, zmagających się z pracami dyplomowymi. To również interesująca książka dla tych, którzy zainteresowani są komizmem i humorem nie tylko w sferze edukacji, ale w każdej sferze życia.</w:t>
            </w:r>
          </w:p>
          <w:p w:rsidR="00B40835" w:rsidRPr="00B40835" w:rsidRDefault="00B40835" w:rsidP="00B40835">
            <w:pPr>
              <w:jc w:val="both"/>
              <w:rPr>
                <w:rFonts w:ascii="Times New Roman" w:hAnsi="Times New Roman" w:cs="Times New Roman"/>
                <w:sz w:val="18"/>
                <w:szCs w:val="18"/>
              </w:rPr>
            </w:pPr>
            <w:r w:rsidRPr="00B40835">
              <w:rPr>
                <w:rFonts w:ascii="Times New Roman" w:hAnsi="Times New Roman" w:cs="Times New Roman"/>
                <w:sz w:val="18"/>
                <w:szCs w:val="18"/>
              </w:rPr>
              <w:t>Książka składa się z dwóch części, z których pierwsza zawiera analizę oraz interpretację poszczególnych zagadnień składających się na jej tematykę, natomiast część drugą stanowi antologia przykładów komizmu oraz obszerny przewodnik bibliograficzny, który zawiera źródła wiedzy w kilku językach.</w:t>
            </w:r>
          </w:p>
          <w:p w:rsidR="001163BB" w:rsidRPr="001163BB" w:rsidRDefault="00B40835" w:rsidP="001163BB">
            <w:pPr>
              <w:jc w:val="both"/>
              <w:rPr>
                <w:rFonts w:ascii="Times New Roman" w:hAnsi="Times New Roman" w:cs="Times New Roman"/>
                <w:sz w:val="18"/>
                <w:szCs w:val="18"/>
              </w:rPr>
            </w:pPr>
            <w:r w:rsidRPr="00B40835">
              <w:rPr>
                <w:rFonts w:ascii="Times New Roman" w:hAnsi="Times New Roman" w:cs="Times New Roman"/>
                <w:sz w:val="18"/>
                <w:szCs w:val="18"/>
              </w:rPr>
              <w:t xml:space="preserve">W kolejnych rozdziałach autor zajmuje się uporządkowaniem kategorii pojęciowych </w:t>
            </w:r>
            <w:r w:rsidR="001163BB">
              <w:rPr>
                <w:rFonts w:ascii="Times New Roman" w:hAnsi="Times New Roman" w:cs="Times New Roman"/>
                <w:sz w:val="18"/>
                <w:szCs w:val="18"/>
              </w:rPr>
              <w:t xml:space="preserve">                      </w:t>
            </w:r>
            <w:r w:rsidRPr="00B40835">
              <w:rPr>
                <w:rFonts w:ascii="Times New Roman" w:hAnsi="Times New Roman" w:cs="Times New Roman"/>
                <w:sz w:val="18"/>
                <w:szCs w:val="18"/>
              </w:rPr>
              <w:t xml:space="preserve">z zakresu glotologii, czyli interdyscyplinarnej refleksji nad śmiechem, przedstawia śmiech w ujęciu fizjologicznym i społeczno-kulturowym, wyjaśnia naturę komizmu, humoru </w:t>
            </w:r>
            <w:r w:rsidR="001163BB">
              <w:rPr>
                <w:rFonts w:ascii="Times New Roman" w:hAnsi="Times New Roman" w:cs="Times New Roman"/>
                <w:sz w:val="18"/>
                <w:szCs w:val="18"/>
              </w:rPr>
              <w:t xml:space="preserve">                   </w:t>
            </w:r>
            <w:r w:rsidRPr="00B40835">
              <w:rPr>
                <w:rFonts w:ascii="Times New Roman" w:hAnsi="Times New Roman" w:cs="Times New Roman"/>
                <w:sz w:val="18"/>
                <w:szCs w:val="18"/>
              </w:rPr>
              <w:t xml:space="preserve">i poczucia humoru jako cenionego zmysłu przeżywania komizmu, pisze również </w:t>
            </w:r>
            <w:r w:rsidR="001163BB">
              <w:rPr>
                <w:rFonts w:ascii="Times New Roman" w:hAnsi="Times New Roman" w:cs="Times New Roman"/>
                <w:sz w:val="18"/>
                <w:szCs w:val="18"/>
              </w:rPr>
              <w:t xml:space="preserve">                       </w:t>
            </w:r>
            <w:r w:rsidRPr="00B40835">
              <w:rPr>
                <w:rFonts w:ascii="Times New Roman" w:hAnsi="Times New Roman" w:cs="Times New Roman"/>
                <w:sz w:val="18"/>
                <w:szCs w:val="18"/>
              </w:rPr>
              <w:t>o uśmiechu i jego komunikacyjnej oraz ekspresyjnej roli. Grzybowski omawia znaczenie śmiechu, traktowanego jako zjawisko społeczne o charakterze integrującym, a także zjawisko wyśmiewania, które stało się pierwszym kryterium wyodrębnienia określonych rodzajów śmiechu. W książce została poruszona również tematyka śmiechu na styku sfer publicznej i prywatnej</w:t>
            </w:r>
            <w:r>
              <w:rPr>
                <w:rFonts w:ascii="Times New Roman" w:hAnsi="Times New Roman" w:cs="Times New Roman"/>
                <w:sz w:val="18"/>
                <w:szCs w:val="18"/>
              </w:rPr>
              <w:t xml:space="preserve"> oraz zagadnienie „terapii śmiechem”.</w:t>
            </w:r>
            <w:r w:rsidR="001163BB">
              <w:rPr>
                <w:rFonts w:ascii="Times New Roman" w:hAnsi="Times New Roman" w:cs="Times New Roman"/>
                <w:sz w:val="18"/>
                <w:szCs w:val="18"/>
              </w:rPr>
              <w:t xml:space="preserve"> </w:t>
            </w:r>
            <w:r w:rsidR="001163BB" w:rsidRPr="001163BB">
              <w:rPr>
                <w:rFonts w:ascii="Times New Roman" w:hAnsi="Times New Roman" w:cs="Times New Roman"/>
                <w:sz w:val="18"/>
                <w:szCs w:val="18"/>
              </w:rPr>
              <w:t xml:space="preserve">Grzybowski ukazuje również w perspektywie porównawczej rezultaty badań nad śmiechem, identyfikuje też obszary, </w:t>
            </w:r>
            <w:r w:rsidR="00227ADD">
              <w:rPr>
                <w:rFonts w:ascii="Times New Roman" w:hAnsi="Times New Roman" w:cs="Times New Roman"/>
                <w:sz w:val="18"/>
                <w:szCs w:val="18"/>
              </w:rPr>
              <w:t xml:space="preserve">                     </w:t>
            </w:r>
            <w:r w:rsidR="001163BB" w:rsidRPr="001163BB">
              <w:rPr>
                <w:rFonts w:ascii="Times New Roman" w:hAnsi="Times New Roman" w:cs="Times New Roman"/>
                <w:sz w:val="18"/>
                <w:szCs w:val="18"/>
              </w:rPr>
              <w:t>w których śmiech może być wykorzystywany. Pisze zatem o śmiechu jako istotnym czynniku w rozwoju dziecka, będącym jednym z elementów socjalizacji, od którego zależy pozycja w rodzinie, grupie rówieśników oraz sferze publicznej.</w:t>
            </w:r>
          </w:p>
          <w:p w:rsidR="001163BB" w:rsidRPr="001163BB" w:rsidRDefault="001163BB" w:rsidP="001163BB">
            <w:pPr>
              <w:jc w:val="both"/>
              <w:rPr>
                <w:rFonts w:ascii="Times New Roman" w:hAnsi="Times New Roman" w:cs="Times New Roman"/>
                <w:sz w:val="18"/>
                <w:szCs w:val="18"/>
              </w:rPr>
            </w:pPr>
            <w:r w:rsidRPr="001163BB">
              <w:rPr>
                <w:rFonts w:ascii="Times New Roman" w:hAnsi="Times New Roman" w:cs="Times New Roman"/>
                <w:sz w:val="18"/>
                <w:szCs w:val="18"/>
              </w:rPr>
              <w:t xml:space="preserve">Kompleksowość ujęcia tematyki śmiechu czyni z pozycji </w:t>
            </w:r>
            <w:r w:rsidRPr="001163BB">
              <w:rPr>
                <w:rFonts w:ascii="Times New Roman" w:hAnsi="Times New Roman" w:cs="Times New Roman"/>
                <w:i/>
                <w:iCs/>
                <w:sz w:val="18"/>
                <w:szCs w:val="18"/>
              </w:rPr>
              <w:t>Śmiech w edukacji</w:t>
            </w:r>
            <w:r w:rsidRPr="001163BB">
              <w:rPr>
                <w:rFonts w:ascii="Times New Roman" w:hAnsi="Times New Roman" w:cs="Times New Roman"/>
                <w:b/>
                <w:bCs/>
                <w:sz w:val="18"/>
                <w:szCs w:val="18"/>
              </w:rPr>
              <w:t> </w:t>
            </w:r>
            <w:r w:rsidRPr="001163BB">
              <w:rPr>
                <w:rFonts w:ascii="Times New Roman" w:hAnsi="Times New Roman" w:cs="Times New Roman"/>
                <w:sz w:val="18"/>
                <w:szCs w:val="18"/>
              </w:rPr>
              <w:t>lekturę wartą polecenia, książkę o wszechstronnych możliwościach wykorzystania. Grzybowski dostarcza gotowy materiał, który bardzo łatwo można zamienić w interesujący projekt do realizacji, generuje pomysły na scenariusze lekcji, a także kolejne obszary badań. Jestem przekonana, że w tego typu książkę warto się zaopatrzyć, bowiem pedagodzy wielokrotnie będą do niej sięgać w swojej pracy zawodowej.</w:t>
            </w:r>
          </w:p>
          <w:p w:rsidR="00F92E88" w:rsidRPr="00C4400C" w:rsidRDefault="00F92E88" w:rsidP="00C4400C">
            <w:pPr>
              <w:jc w:val="both"/>
              <w:rPr>
                <w:rFonts w:ascii="Times New Roman" w:hAnsi="Times New Roman" w:cs="Times New Roman"/>
                <w:sz w:val="18"/>
                <w:szCs w:val="18"/>
              </w:rPr>
            </w:pPr>
          </w:p>
          <w:p w:rsidR="00D1292F" w:rsidRPr="00CC1A55" w:rsidRDefault="00C4400C" w:rsidP="00F14E13">
            <w:pPr>
              <w:jc w:val="both"/>
              <w:rPr>
                <w:rFonts w:ascii="Times New Roman" w:hAnsi="Times New Roman" w:cs="Times New Roman"/>
                <w:sz w:val="18"/>
                <w:szCs w:val="18"/>
              </w:rPr>
            </w:pPr>
            <w:r w:rsidRPr="00CC1A55">
              <w:rPr>
                <w:rFonts w:ascii="Times New Roman" w:hAnsi="Times New Roman" w:cs="Times New Roman"/>
                <w:sz w:val="18"/>
                <w:szCs w:val="18"/>
              </w:rPr>
              <w:t>Lubaczów </w:t>
            </w:r>
            <w:hyperlink r:id="rId31" w:history="1">
              <w:r w:rsidRPr="00CC1A55">
                <w:rPr>
                  <w:rFonts w:ascii="Times New Roman" w:hAnsi="Times New Roman" w:cs="Times New Roman"/>
                  <w:sz w:val="18"/>
                  <w:szCs w:val="18"/>
                </w:rPr>
                <w:t>WL</w:t>
              </w:r>
            </w:hyperlink>
            <w:r w:rsidRPr="00CC1A55">
              <w:rPr>
                <w:rFonts w:ascii="Times New Roman" w:hAnsi="Times New Roman" w:cs="Times New Roman"/>
                <w:sz w:val="18"/>
                <w:szCs w:val="18"/>
              </w:rPr>
              <w:t> </w:t>
            </w:r>
            <w:bookmarkStart w:id="0" w:name="_GoBack"/>
            <w:bookmarkEnd w:id="0"/>
            <w:r w:rsidRPr="00CC1A55">
              <w:rPr>
                <w:rFonts w:ascii="Times New Roman" w:hAnsi="Times New Roman" w:cs="Times New Roman"/>
                <w:sz w:val="18"/>
                <w:szCs w:val="18"/>
              </w:rPr>
              <w:t>49476</w:t>
            </w:r>
          </w:p>
        </w:tc>
        <w:tc>
          <w:tcPr>
            <w:tcW w:w="2441" w:type="dxa"/>
          </w:tcPr>
          <w:p w:rsidR="00D1292F" w:rsidRDefault="00F92E88" w:rsidP="009F1A1B">
            <w:pPr>
              <w:jc w:val="center"/>
              <w:rPr>
                <w:rFonts w:ascii="Verdana" w:hAnsi="Verdana"/>
                <w:b/>
                <w:color w:val="365F91" w:themeColor="accent1" w:themeShade="BF"/>
                <w:sz w:val="24"/>
                <w:szCs w:val="24"/>
              </w:rPr>
            </w:pPr>
            <w:r>
              <w:rPr>
                <w:rFonts w:ascii="Arial" w:hAnsi="Arial" w:cs="Arial"/>
                <w:noProof/>
                <w:color w:val="000000"/>
                <w:sz w:val="18"/>
                <w:szCs w:val="18"/>
                <w:lang w:eastAsia="pl-PL"/>
              </w:rPr>
              <w:drawing>
                <wp:anchor distT="0" distB="0" distL="114300" distR="114300" simplePos="0" relativeHeight="251664384" behindDoc="1" locked="0" layoutInCell="1" allowOverlap="1" wp14:anchorId="255A0D7E" wp14:editId="0AC473B8">
                  <wp:simplePos x="0" y="0"/>
                  <wp:positionH relativeFrom="column">
                    <wp:posOffset>104140</wp:posOffset>
                  </wp:positionH>
                  <wp:positionV relativeFrom="paragraph">
                    <wp:posOffset>473075</wp:posOffset>
                  </wp:positionV>
                  <wp:extent cx="1199515" cy="1718945"/>
                  <wp:effectExtent l="0" t="0" r="635" b="0"/>
                  <wp:wrapThrough wrapText="bothSides">
                    <wp:wrapPolygon edited="0">
                      <wp:start x="0" y="0"/>
                      <wp:lineTo x="0" y="21305"/>
                      <wp:lineTo x="21268" y="21305"/>
                      <wp:lineTo x="21268" y="0"/>
                      <wp:lineTo x="0" y="0"/>
                    </wp:wrapPolygon>
                  </wp:wrapThrough>
                  <wp:docPr id="7" name="Obraz 7" descr="Okładka -  Śmiech w edukacji. Od szkolnej wspólnoty śmiechu po edukację międzykulturową">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ładka -  Śmiech w edukacji. Od szkolnej wspólnoty śmiechu po edukację międzykulturową">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951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F1A1B" w:rsidRPr="007F28BE" w:rsidRDefault="009F1A1B" w:rsidP="009F1A1B">
      <w:pPr>
        <w:spacing w:after="0"/>
        <w:jc w:val="center"/>
        <w:rPr>
          <w:rFonts w:ascii="Verdana" w:hAnsi="Verdana"/>
          <w:b/>
          <w:color w:val="365F91" w:themeColor="accent1" w:themeShade="BF"/>
          <w:sz w:val="24"/>
          <w:szCs w:val="24"/>
        </w:rPr>
      </w:pPr>
    </w:p>
    <w:p w:rsidR="00082D83" w:rsidRDefault="00082D83"/>
    <w:sectPr w:rsidR="00082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Noticia Text">
    <w:altName w:val="Times New Roman"/>
    <w:charset w:val="00"/>
    <w:family w:val="auto"/>
    <w:pitch w:val="default"/>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34E52"/>
    <w:multiLevelType w:val="multilevel"/>
    <w:tmpl w:val="C1A6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B8"/>
    <w:rsid w:val="000231E0"/>
    <w:rsid w:val="000463A8"/>
    <w:rsid w:val="00082D83"/>
    <w:rsid w:val="00087ACD"/>
    <w:rsid w:val="00095183"/>
    <w:rsid w:val="000D4DC8"/>
    <w:rsid w:val="00102682"/>
    <w:rsid w:val="001163BB"/>
    <w:rsid w:val="00175E63"/>
    <w:rsid w:val="00182201"/>
    <w:rsid w:val="00227ADD"/>
    <w:rsid w:val="00286B87"/>
    <w:rsid w:val="002A76A2"/>
    <w:rsid w:val="002E5F60"/>
    <w:rsid w:val="002F51B4"/>
    <w:rsid w:val="00381DDB"/>
    <w:rsid w:val="00384719"/>
    <w:rsid w:val="003852DE"/>
    <w:rsid w:val="004F3D1D"/>
    <w:rsid w:val="005B0766"/>
    <w:rsid w:val="005C69F7"/>
    <w:rsid w:val="006318B8"/>
    <w:rsid w:val="006A66DB"/>
    <w:rsid w:val="0077117F"/>
    <w:rsid w:val="007A30B2"/>
    <w:rsid w:val="007D6B80"/>
    <w:rsid w:val="00822E53"/>
    <w:rsid w:val="00845223"/>
    <w:rsid w:val="00907632"/>
    <w:rsid w:val="0092719B"/>
    <w:rsid w:val="009F1A1B"/>
    <w:rsid w:val="00AA6127"/>
    <w:rsid w:val="00B166A2"/>
    <w:rsid w:val="00B40835"/>
    <w:rsid w:val="00BA55A7"/>
    <w:rsid w:val="00C0107B"/>
    <w:rsid w:val="00C4355D"/>
    <w:rsid w:val="00C4400C"/>
    <w:rsid w:val="00C95EDF"/>
    <w:rsid w:val="00CC1A55"/>
    <w:rsid w:val="00CD5F36"/>
    <w:rsid w:val="00D1292F"/>
    <w:rsid w:val="00D2580D"/>
    <w:rsid w:val="00D41D91"/>
    <w:rsid w:val="00D90A97"/>
    <w:rsid w:val="00DC0E8C"/>
    <w:rsid w:val="00EC6D92"/>
    <w:rsid w:val="00F04038"/>
    <w:rsid w:val="00F14E13"/>
    <w:rsid w:val="00F33BD9"/>
    <w:rsid w:val="00F81840"/>
    <w:rsid w:val="00F92E88"/>
    <w:rsid w:val="00FC2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A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F1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C4355D"/>
    <w:rPr>
      <w:color w:val="0000FF" w:themeColor="hyperlink"/>
      <w:u w:val="single"/>
    </w:rPr>
  </w:style>
  <w:style w:type="paragraph" w:styleId="Tekstdymka">
    <w:name w:val="Balloon Text"/>
    <w:basedOn w:val="Normalny"/>
    <w:link w:val="TekstdymkaZnak"/>
    <w:uiPriority w:val="99"/>
    <w:semiHidden/>
    <w:unhideWhenUsed/>
    <w:rsid w:val="00C435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355D"/>
    <w:rPr>
      <w:rFonts w:ascii="Tahoma" w:hAnsi="Tahoma" w:cs="Tahoma"/>
      <w:sz w:val="16"/>
      <w:szCs w:val="16"/>
    </w:rPr>
  </w:style>
  <w:style w:type="character" w:styleId="Pogrubienie">
    <w:name w:val="Strong"/>
    <w:basedOn w:val="Domylnaczcionkaakapitu"/>
    <w:uiPriority w:val="22"/>
    <w:qFormat/>
    <w:rsid w:val="00175E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A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F1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C4355D"/>
    <w:rPr>
      <w:color w:val="0000FF" w:themeColor="hyperlink"/>
      <w:u w:val="single"/>
    </w:rPr>
  </w:style>
  <w:style w:type="paragraph" w:styleId="Tekstdymka">
    <w:name w:val="Balloon Text"/>
    <w:basedOn w:val="Normalny"/>
    <w:link w:val="TekstdymkaZnak"/>
    <w:uiPriority w:val="99"/>
    <w:semiHidden/>
    <w:unhideWhenUsed/>
    <w:rsid w:val="00C435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355D"/>
    <w:rPr>
      <w:rFonts w:ascii="Tahoma" w:hAnsi="Tahoma" w:cs="Tahoma"/>
      <w:sz w:val="16"/>
      <w:szCs w:val="16"/>
    </w:rPr>
  </w:style>
  <w:style w:type="character" w:styleId="Pogrubienie">
    <w:name w:val="Strong"/>
    <w:basedOn w:val="Domylnaczcionkaakapitu"/>
    <w:uiPriority w:val="22"/>
    <w:qFormat/>
    <w:rsid w:val="00175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2.jpeg"/><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http://impulsoficyna.com.pl/okladki/big/978-83-7850-546-4.jpg?v=0" TargetMode="External"/><Relationship Id="rId17" Type="http://schemas.openxmlformats.org/officeDocument/2006/relationships/image" Target="media/image3.jpeg"/><Relationship Id="rId25" Type="http://schemas.openxmlformats.org/officeDocument/2006/relationships/image" Target="media/image5.png"/><Relationship Id="rId33"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wydawnictwo.us.edu.pl/sites/wydawnictwo.us.edu.pl/files/styles/uc_product_full/public/edukacja_malego_dziecka_t_7_okl.jpg?itok=tXL_qT1i"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http://www.granice.pl/sys6/pliki/okladka_k/09af7bf2697d8ad5f1664a97d72e9964.jpeg"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s.lubimyczytac.pl/upload/books/245000/245767/352243-352x500.jpg" TargetMode="External"/><Relationship Id="rId10" Type="http://schemas.openxmlformats.org/officeDocument/2006/relationships/image" Target="media/image1.jpe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http://opac.pbw.org.pl/cgi-bin/wspd_cgi.sh/wo2_stwyd.p?ID1=EMNGIKLMQMGNFDJPLRNM&amp;ln=pl&amp;IDStrat=559958&amp;pg=21"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1814</Words>
  <Characters>10889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Krupa</dc:creator>
  <cp:keywords/>
  <dc:description/>
  <cp:lastModifiedBy>Elżbieta Krupa</cp:lastModifiedBy>
  <cp:revision>57</cp:revision>
  <dcterms:created xsi:type="dcterms:W3CDTF">2015-06-18T07:29:00Z</dcterms:created>
  <dcterms:modified xsi:type="dcterms:W3CDTF">2015-06-20T09:42:00Z</dcterms:modified>
</cp:coreProperties>
</file>