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7E206A" w:rsidRPr="007E206A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6A">
              <w:rPr>
                <w:rFonts w:ascii="Times New Roman" w:hAnsi="Times New Roman" w:cs="Times New Roman"/>
                <w:b/>
                <w:sz w:val="20"/>
                <w:szCs w:val="20"/>
              </w:rPr>
              <w:t>Pedagogika kultury popularnej : teorie, metody i obszary badań / pod redakcją naukową Witolda Jakubowskiego. - Wyd.2. - Kraków : "Impuls", 2017</w:t>
            </w:r>
          </w:p>
          <w:p w:rsidR="007E206A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06A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 xml:space="preserve">Niniejsze opracowanie jest próbą potraktowania kultury popularnej jako składowej nowocześnie rozumianej pedagogiki kultury. Książka składa się z kilku wyodrębnionych części, zachowując zasadę „od ogółu do szczegółu”. Pierwsza zawiera teksty ukazujące teoretyczne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>i metodologiczne zaplecze badań pedagogiczny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nad kulturą popularną</w:t>
            </w: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>. Artykuły wypełniające część drugą skupiają się na przedstawieniu edukacyjnego potencjału i zarazem socjalizacyjnych mechanizmów „działania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kultury pop</w:t>
            </w:r>
            <w:r w:rsidR="00E56E9B">
              <w:rPr>
                <w:rFonts w:ascii="Times New Roman" w:hAnsi="Times New Roman" w:cs="Times New Roman"/>
                <w:sz w:val="20"/>
                <w:szCs w:val="20"/>
              </w:rPr>
              <w:t>ularnej</w:t>
            </w: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 xml:space="preserve">. Część trzecia dotyczy możliwości wykorzystania filmu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działaniach edukacyjnych</w:t>
            </w: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>. Czwartą część tworzą teksty o sposobach czytania fotografii, będącej ważnym elementem wspó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łczesnej kultury obrazu</w:t>
            </w:r>
            <w:r w:rsidRPr="007E206A">
              <w:rPr>
                <w:rFonts w:ascii="Times New Roman" w:hAnsi="Times New Roman" w:cs="Times New Roman"/>
                <w:sz w:val="20"/>
                <w:szCs w:val="20"/>
              </w:rPr>
              <w:t xml:space="preserve">. W ostatniej części omówiono wieloaspektowo zjawisko popkulturowych </w:t>
            </w:r>
          </w:p>
          <w:p w:rsidR="00E56E9B" w:rsidRPr="007E206A" w:rsidRDefault="00E56E9B" w:rsidP="007E206A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E206A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20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Tom jest zbiorem artykułów odwołujących się do ciekawego poznawczo i jakże ważnego społecznie zagadnienia pedagogiki kultury popularnej. Uważna ich lektura ukazuje, że odpowiedź na pytanie o warunki umożliwiające „rozpoznanie edukacyjnego i socjalizacyjnego «działania» rozmaitych fenomenów kultury współczesnej” domaga się wywalczenia w humanistycznym i społecznym dyskursie. […] Niewątpliwie to oryginalne opracowanie nie tylko stanowi znaczący wkład w rozwój nauk społecznych, lecz także inspiruje do stawiania kolejnych pytań i poszukiwania na nie wielokontekstowych odpowiedzi. </w:t>
            </w:r>
            <w:r w:rsidRPr="007E206A">
              <w:rPr>
                <w:rFonts w:ascii="Times New Roman" w:hAnsi="Times New Roman" w:cs="Times New Roman"/>
                <w:sz w:val="18"/>
                <w:szCs w:val="18"/>
              </w:rPr>
              <w:t xml:space="preserve">/Z recenzji prof. dr hab. Agnieszki </w:t>
            </w:r>
            <w:proofErr w:type="spellStart"/>
            <w:r w:rsidRPr="007E206A">
              <w:rPr>
                <w:rFonts w:ascii="Times New Roman" w:hAnsi="Times New Roman" w:cs="Times New Roman"/>
                <w:sz w:val="18"/>
                <w:szCs w:val="18"/>
              </w:rPr>
              <w:t>Cybal</w:t>
            </w:r>
            <w:proofErr w:type="spellEnd"/>
            <w:r w:rsidRPr="007E206A">
              <w:rPr>
                <w:rFonts w:ascii="Times New Roman" w:hAnsi="Times New Roman" w:cs="Times New Roman"/>
                <w:sz w:val="18"/>
                <w:szCs w:val="18"/>
              </w:rPr>
              <w:t>-Michalskiej/</w:t>
            </w:r>
          </w:p>
          <w:p w:rsidR="007E206A" w:rsidRPr="007E206A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7B4" w:rsidRDefault="007E206A" w:rsidP="007E20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6A">
              <w:rPr>
                <w:rFonts w:ascii="Times New Roman" w:hAnsi="Times New Roman" w:cs="Times New Roman"/>
                <w:b/>
                <w:sz w:val="20"/>
                <w:szCs w:val="20"/>
              </w:rPr>
              <w:t>Lubaczów   WL   50482</w:t>
            </w:r>
          </w:p>
          <w:p w:rsidR="00E56E9B" w:rsidRPr="00AB49D7" w:rsidRDefault="00E56E9B" w:rsidP="007E20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Pr="00AF270C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Default="007E206A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6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68095" cy="1906270"/>
                  <wp:effectExtent l="0" t="0" r="8255" b="0"/>
                  <wp:docPr id="3" name="Obraz 3" descr="http://www.impulsoficyna.com.pl/okladki/small/978-83-8095-189-1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pulsoficyna.com.pl/okladki/small/978-83-8095-189-1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3BE" w:rsidRDefault="008063B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A7" w:rsidRDefault="00CA02A7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1D7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56E9B" w:rsidRPr="00E56E9B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9B">
              <w:rPr>
                <w:rFonts w:ascii="Times New Roman" w:hAnsi="Times New Roman" w:cs="Times New Roman"/>
                <w:b/>
                <w:sz w:val="20"/>
                <w:szCs w:val="20"/>
              </w:rPr>
              <w:t>Mózg a ciało w psychoterapii / Wiesław Sikorski. - Warszawa : "</w:t>
            </w:r>
            <w:proofErr w:type="spellStart"/>
            <w:r w:rsidRPr="00E56E9B">
              <w:rPr>
                <w:rFonts w:ascii="Times New Roman" w:hAnsi="Times New Roman" w:cs="Times New Roman"/>
                <w:b/>
                <w:sz w:val="20"/>
                <w:szCs w:val="20"/>
              </w:rPr>
              <w:t>Difin</w:t>
            </w:r>
            <w:proofErr w:type="spellEnd"/>
            <w:r w:rsidRPr="00E56E9B">
              <w:rPr>
                <w:rFonts w:ascii="Times New Roman" w:hAnsi="Times New Roman" w:cs="Times New Roman"/>
                <w:b/>
                <w:sz w:val="20"/>
                <w:szCs w:val="20"/>
              </w:rPr>
              <w:t>", 2018</w:t>
            </w:r>
          </w:p>
          <w:p w:rsidR="00E56E9B" w:rsidRDefault="00E56E9B" w:rsidP="00E5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E9B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9B">
              <w:rPr>
                <w:rFonts w:ascii="Times New Roman" w:hAnsi="Times New Roman" w:cs="Times New Roman"/>
                <w:sz w:val="20"/>
                <w:szCs w:val="20"/>
              </w:rPr>
              <w:t xml:space="preserve">Książka charakteryzuje istotę komunikacji interpersonalnej,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E56E9B">
              <w:rPr>
                <w:rFonts w:ascii="Times New Roman" w:hAnsi="Times New Roman" w:cs="Times New Roman"/>
                <w:sz w:val="20"/>
                <w:szCs w:val="20"/>
              </w:rPr>
              <w:t xml:space="preserve">a zwłaszcza niewerbalnej. Dokonano dokładnego opisu znaczenia poszczególnych kanałów takiej komunikacji – języka twarzy, </w:t>
            </w:r>
            <w:proofErr w:type="spellStart"/>
            <w:r w:rsidRPr="00E56E9B">
              <w:rPr>
                <w:rFonts w:ascii="Times New Roman" w:hAnsi="Times New Roman" w:cs="Times New Roman"/>
                <w:sz w:val="20"/>
                <w:szCs w:val="20"/>
              </w:rPr>
              <w:t>parajęzyka</w:t>
            </w:r>
            <w:proofErr w:type="spellEnd"/>
            <w:r w:rsidRPr="00E56E9B">
              <w:rPr>
                <w:rFonts w:ascii="Times New Roman" w:hAnsi="Times New Roman" w:cs="Times New Roman"/>
                <w:sz w:val="20"/>
                <w:szCs w:val="20"/>
              </w:rPr>
              <w:t xml:space="preserve"> (śmiechu, sygnałów wokalnych), zachowań wzrokowych (ruchu gałek ocznych), gestykulacji, środowiska fizycznego (</w:t>
            </w:r>
            <w:proofErr w:type="spellStart"/>
            <w:r w:rsidRPr="00E56E9B">
              <w:rPr>
                <w:rFonts w:ascii="Times New Roman" w:hAnsi="Times New Roman" w:cs="Times New Roman"/>
                <w:sz w:val="20"/>
                <w:szCs w:val="20"/>
              </w:rPr>
              <w:t>proksemiki</w:t>
            </w:r>
            <w:proofErr w:type="spellEnd"/>
            <w:r w:rsidRPr="00E56E9B">
              <w:rPr>
                <w:rFonts w:ascii="Times New Roman" w:hAnsi="Times New Roman" w:cs="Times New Roman"/>
                <w:sz w:val="20"/>
                <w:szCs w:val="20"/>
              </w:rPr>
              <w:t>), dotyku – dla relacji terapeutycznej i postępowania diagnostycznego. Skoncentrowano się na charakterystyce pozasłownej komunikacji terapeutycznej sprzyjającej i angażującej neurony, uwzględniającej funkcjonowanie mózgu.</w:t>
            </w:r>
          </w:p>
          <w:p w:rsidR="00E56E9B" w:rsidRPr="00E56E9B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6E9B" w:rsidRPr="00E56E9B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Autor (…) uzasadnia terapeutyczną wyjątkowość zachowań niewerbalnych z perspektywy </w:t>
            </w:r>
            <w:proofErr w:type="spellStart"/>
            <w:r w:rsidRPr="00E56E9B">
              <w:rPr>
                <w:rFonts w:ascii="Times New Roman" w:hAnsi="Times New Roman" w:cs="Times New Roman"/>
                <w:i/>
                <w:sz w:val="20"/>
                <w:szCs w:val="20"/>
              </w:rPr>
              <w:t>neuronauk</w:t>
            </w:r>
            <w:proofErr w:type="spellEnd"/>
            <w:r w:rsidRPr="00E56E9B">
              <w:rPr>
                <w:rFonts w:ascii="Times New Roman" w:hAnsi="Times New Roman" w:cs="Times New Roman"/>
                <w:i/>
                <w:sz w:val="20"/>
                <w:szCs w:val="20"/>
              </w:rPr>
              <w:t>, a ściślej najnowszej wiedzy o mózgu. To obowiązkowa lektura zarówno dla specjalistów (psychoterapeutów, psychologów, lekarzy), a także studentów kierunków medycznych i paramedycznych, psychologii klinicznej, pedagogiki specjalnej, terapii pedagogicznej oraz kierunków pokrewnych (…)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6E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56E9B">
              <w:rPr>
                <w:sz w:val="18"/>
                <w:szCs w:val="18"/>
              </w:rPr>
              <w:t xml:space="preserve"> </w:t>
            </w:r>
            <w:r w:rsidRPr="00E56E9B">
              <w:rPr>
                <w:rFonts w:ascii="Times New Roman" w:hAnsi="Times New Roman" w:cs="Times New Roman"/>
                <w:sz w:val="18"/>
                <w:szCs w:val="18"/>
              </w:rPr>
              <w:t>Prof. dr hab. Marek Poźniak, Państwowa Wyższa Szkoła Filmowa, Telewizyjna i Teatralna im. Leona Schillera w Łodzi/</w:t>
            </w:r>
          </w:p>
          <w:p w:rsidR="00E56E9B" w:rsidRPr="00E56E9B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366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9B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112653</w:t>
            </w:r>
          </w:p>
          <w:p w:rsidR="00E56E9B" w:rsidRPr="00CE4A86" w:rsidRDefault="00E56E9B" w:rsidP="00E56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CE4A86" w:rsidRDefault="00CE4A86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01" w:rsidRDefault="00291B01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01" w:rsidRDefault="00357940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9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174DBC38" wp14:editId="1C3A7162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96688</wp:posOffset>
                  </wp:positionV>
                  <wp:extent cx="1310640" cy="1891030"/>
                  <wp:effectExtent l="0" t="0" r="3810" b="0"/>
                  <wp:wrapNone/>
                  <wp:docPr id="7" name="Obraz 7" descr="http://www.ksiegarnia.difin.pl/imgtmp/produkty_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siegarnia.difin.pl/imgtmp/produkty_3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B01" w:rsidRDefault="00291B01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724" w:rsidRDefault="00774BEF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7B3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26EBE" w:rsidRDefault="00026EBE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C9F" w:rsidRDefault="00674C9F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Emocje dzieci i młodzieży z trudnościami w rozwoju i zachowaniu / red. nauk. Barbara </w:t>
            </w:r>
            <w:proofErr w:type="spellStart"/>
            <w:r w:rsidRPr="00674C9F">
              <w:rPr>
                <w:rFonts w:ascii="Times New Roman" w:hAnsi="Times New Roman" w:cs="Times New Roman"/>
                <w:b/>
                <w:sz w:val="20"/>
                <w:szCs w:val="20"/>
              </w:rPr>
              <w:t>Winczura</w:t>
            </w:r>
            <w:proofErr w:type="spellEnd"/>
            <w:r w:rsidRPr="00674C9F">
              <w:rPr>
                <w:rFonts w:ascii="Times New Roman" w:hAnsi="Times New Roman" w:cs="Times New Roman"/>
                <w:b/>
                <w:sz w:val="20"/>
                <w:szCs w:val="20"/>
              </w:rPr>
              <w:t>. - Wyd. 2. - Kraków : "Impuls", 2017</w:t>
            </w:r>
          </w:p>
          <w:p w:rsidR="007B3E3B" w:rsidRDefault="007B3E3B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E3B" w:rsidRDefault="006B0BAF" w:rsidP="007B3E3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ie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>lekka i niezobowiązująca lektura</w:t>
            </w:r>
            <w:r w:rsidR="007B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 Jeśli jednak zamieszczone w niej teksty trafią do odpowiednich osób, może przynieść dużo korzyści i okazać się zbawienną w skutkach. Stanowi bowiem zbiór tekstów, które rzetelnie pochylają się nad problemami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>z mniejszymi bądź większymi, zawsze jednak uciążliwymi, dysfunkcjami w rozwoju. Na tę publikacje składa się kilkanaście naukowych tekstów, których autorami są pracownicy naukowi kilku polskich uczelni. Motywem przewodnim wszystki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zawartych w tej pracy treści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 są tytułowe emocje. </w:t>
            </w:r>
            <w:r w:rsidR="007B3E3B" w:rsidRPr="007B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„Dzieci nie mają takich umiejętności jak dorośli, emocjonalnie są bezbronne. Ich potrzeba bezpieczeństwa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B3E3B" w:rsidRPr="007B3E3B">
              <w:rPr>
                <w:rFonts w:ascii="Times New Roman" w:hAnsi="Times New Roman" w:cs="Times New Roman"/>
                <w:i/>
                <w:sz w:val="20"/>
                <w:szCs w:val="20"/>
              </w:rPr>
              <w:t>i przynależności jest bardzo silna. Osoby bliskie dorosłe są głównymi postaciami odniesienia w ocenie wszystkich ważnych spraw i wydarzeń dostrzeganych przez dziecko. O sobie myśli w kategorii jaźni odzwierciedlonej. Dziecko czuje się takim, jakim widzą je najbliżsi i jak mu o tym mówią.”</w:t>
            </w:r>
          </w:p>
          <w:p w:rsidR="00026EBE" w:rsidRPr="00026EBE" w:rsidRDefault="00026EBE" w:rsidP="007B3E3B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3E3B" w:rsidRDefault="007B3E3B" w:rsidP="007B3E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Teksty zebrane w omawianej publikacji podzielone zostały na dwie części. Pierwsza skupia się na negatywnych doświadczeniach potraktowanych jako czynniki ryzyka zaburzeń emocjonalnych u dzieci i młodzieży. Przechodzimy w nim przez różne procesy zaburzeń psychicznych i doświadczeń traumatycznych, które kształtują dzieci </w:t>
            </w:r>
            <w:r w:rsidR="006B0B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i młodzież. Zaczynamy od doświadczeń wczesnego dzieciństwa, przechodzimy przez zespół stresu pourazowego, zgłębiamy problemy depresji u najmłodszych oraz ich zaburzenia po traumie molestowania seksualnego. W rozważaniach autorów pojawiają się też wątki anoreksji u dzieci i młodzieży oraz motywy związane z procesach regulacji zachowań także na poziomie genetycznej. We wszystkich tych tekstach, nawet jeśli podchodzą do tematu konkretnie i </w:t>
            </w:r>
            <w:proofErr w:type="spellStart"/>
            <w:r w:rsidRPr="007B3E3B">
              <w:rPr>
                <w:rFonts w:ascii="Times New Roman" w:hAnsi="Times New Roman" w:cs="Times New Roman"/>
                <w:sz w:val="20"/>
                <w:szCs w:val="20"/>
              </w:rPr>
              <w:t>fokusują</w:t>
            </w:r>
            <w:proofErr w:type="spellEnd"/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 się na jakimś specjalistycznym fragmencie problemu emocji u najmłodszych, czuć podejście w pełni holistyczne, uwzględniające wszystkie aspekty mogące mieć wpływ </w:t>
            </w:r>
            <w:r w:rsidR="006B0BAF">
              <w:rPr>
                <w:rFonts w:ascii="Times New Roman" w:hAnsi="Times New Roman" w:cs="Times New Roman"/>
                <w:sz w:val="20"/>
                <w:szCs w:val="20"/>
              </w:rPr>
              <w:t>na problemy dzieci i młodzieży.</w:t>
            </w:r>
          </w:p>
          <w:p w:rsidR="00026EBE" w:rsidRPr="007B3E3B" w:rsidRDefault="00026EBE" w:rsidP="007B3E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3B" w:rsidRPr="007B3E3B" w:rsidRDefault="007B3E3B" w:rsidP="007B3E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Część druga skupia się na najmłodszych z przewlekłą chorobą </w:t>
            </w:r>
            <w:r w:rsidR="006B0B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i z niepełnosprawnością w ich psychospołecznej adaptacji. </w:t>
            </w:r>
            <w:r w:rsidR="006B0BAF">
              <w:rPr>
                <w:rFonts w:ascii="Times New Roman" w:hAnsi="Times New Roman" w:cs="Times New Roman"/>
                <w:sz w:val="20"/>
                <w:szCs w:val="20"/>
              </w:rPr>
              <w:t xml:space="preserve">Teksty traktują </w:t>
            </w: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o takich niepełnosprawnościach jak niedowidzenie, niedosłyszenie, autyzm czy różne odcienie niepełnosprawności intelektualnej. Autorzy omawiają specyfikę rozwoju procesów emocjonalnych w kontekście tych różnych dysfunkcji i starają się wskazać jakie działania mogą mieć szczególne znaczenie i wagę </w:t>
            </w:r>
            <w:r w:rsidR="006B0B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B3E3B">
              <w:rPr>
                <w:rFonts w:ascii="Times New Roman" w:hAnsi="Times New Roman" w:cs="Times New Roman"/>
                <w:sz w:val="20"/>
                <w:szCs w:val="20"/>
              </w:rPr>
              <w:t>w procesie adaptacji społecznej dotkniętych nimi dzieci i młodzieży.</w:t>
            </w:r>
          </w:p>
          <w:p w:rsidR="00026EBE" w:rsidRDefault="006B0BAF" w:rsidP="00674C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>szystkie teksty zgromadzone w tej publikacji są pracami naukowców i spe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cjalistów w swoich dziedzinach. To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>naukowe wystąpienia poparte badaniami i bogatą bibliografią. Autorzy czerpią z tekstów klasycznych, ale powołują 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też na najnowsze prace naukowców                   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 z całego świata, także tych, których prace nie były jeszcze tłumaczone w naszym kraju. Dla osób, które na co dzień pracują z dziećmi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 xml:space="preserve">i młodzieżą, to prawdziwa skarbnica wiedzy wywiedzionej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7B3E3B" w:rsidRPr="007B3E3B">
              <w:rPr>
                <w:rFonts w:ascii="Times New Roman" w:hAnsi="Times New Roman" w:cs="Times New Roman"/>
                <w:sz w:val="20"/>
                <w:szCs w:val="20"/>
              </w:rPr>
              <w:t>z codziennej praktyki, popart mnóstwem najnowszych odkryć. Sięgnąć po nią powinni też rodzice, którzy czują, że przydałaby im się fachowa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 temacie emocji ich pociech. </w:t>
            </w:r>
          </w:p>
          <w:p w:rsidR="007B3E3B" w:rsidRPr="006B0BAF" w:rsidRDefault="006B0BAF" w:rsidP="00674C9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B0BAF">
              <w:rPr>
                <w:rFonts w:ascii="Times New Roman" w:hAnsi="Times New Roman" w:cs="Times New Roman"/>
                <w:sz w:val="18"/>
                <w:szCs w:val="18"/>
              </w:rPr>
              <w:t>źródło: https://sztukater.pl/ksiazki/item/22324-emocje-dzieci-i-mlodziezy-z-trudnosciami-w-rozwoju-i-zachowaniu.html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B3E3B" w:rsidRDefault="007B3E3B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BAF" w:rsidRDefault="00674C9F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9F">
              <w:rPr>
                <w:rFonts w:ascii="Times New Roman" w:hAnsi="Times New Roman" w:cs="Times New Roman"/>
                <w:b/>
                <w:sz w:val="20"/>
                <w:szCs w:val="20"/>
              </w:rPr>
              <w:t>Przeworsk   WK   53092</w:t>
            </w:r>
          </w:p>
          <w:p w:rsidR="006B0BAF" w:rsidRDefault="006B0BAF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EBE" w:rsidRPr="006B0BAF" w:rsidRDefault="00026EBE" w:rsidP="00674C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CA3A9C" w:rsidRDefault="00CA3A9C" w:rsidP="0003617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7B35" w:rsidRDefault="00407B35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9F" w:rsidRDefault="006B0BAF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864985C" wp14:editId="1635AE9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155575</wp:posOffset>
                  </wp:positionV>
                  <wp:extent cx="1345565" cy="1858010"/>
                  <wp:effectExtent l="0" t="0" r="6985" b="8890"/>
                  <wp:wrapThrough wrapText="bothSides">
                    <wp:wrapPolygon edited="0">
                      <wp:start x="0" y="0"/>
                      <wp:lineTo x="0" y="21482"/>
                      <wp:lineTo x="21406" y="21482"/>
                      <wp:lineTo x="21406" y="0"/>
                      <wp:lineTo x="0" y="0"/>
                    </wp:wrapPolygon>
                  </wp:wrapThrough>
                  <wp:docPr id="8" name="Obraz 8" descr="http://www.impulsoficyna.com.pl/okladki/small/978-83-8095-303-1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mpulsoficyna.com.pl/okladki/small/978-83-8095-303-1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9F" w:rsidRDefault="00674C9F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EB69DF" w:rsidRDefault="00EB69DF" w:rsidP="00EB69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Logopedia międzykulturowa / red. nauk. Ewa </w:t>
            </w:r>
            <w:proofErr w:type="spellStart"/>
            <w:r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t>Czaplewska</w:t>
            </w:r>
            <w:proofErr w:type="spellEnd"/>
            <w:r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- Gdańsk : "Harmonia </w:t>
            </w:r>
            <w:proofErr w:type="spellStart"/>
            <w:r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t>Universalis</w:t>
            </w:r>
            <w:proofErr w:type="spellEnd"/>
            <w:r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t>", 2018</w:t>
            </w:r>
          </w:p>
          <w:p w:rsidR="00F95228" w:rsidRDefault="00F95228" w:rsidP="00EB69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228" w:rsidRPr="00BA6256" w:rsidRDefault="00BA6256" w:rsidP="00EB69D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 xml:space="preserve">„Logopedia międzykulturowa” to kolejny tom z serii LOGOPEDIA XXI WIEKU – jednego z najważniejszych projektów wydawnictwa naukowego Harmonia </w:t>
            </w:r>
            <w:proofErr w:type="spellStart"/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Universalis</w:t>
            </w:r>
            <w:proofErr w:type="spellEnd"/>
            <w:r w:rsidRPr="00BA6256">
              <w:rPr>
                <w:rFonts w:ascii="Times New Roman" w:hAnsi="Times New Roman" w:cs="Times New Roman"/>
                <w:sz w:val="20"/>
                <w:szCs w:val="20"/>
              </w:rPr>
              <w:t xml:space="preserve">. Obejmuje on stworzenie serii monografii naukowych z zakresu najistotniejszych problemów współczesnej logopedii pod redakcją prof. UG, dra hab. Stanisława Milewskiego oraz prof. UG, dr hab. Ewy </w:t>
            </w:r>
            <w:proofErr w:type="spellStart"/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Czaplewskiej</w:t>
            </w:r>
            <w:proofErr w:type="spellEnd"/>
            <w:r w:rsidRPr="00BA6256">
              <w:rPr>
                <w:rFonts w:ascii="Times New Roman" w:hAnsi="Times New Roman" w:cs="Times New Roman"/>
                <w:sz w:val="20"/>
                <w:szCs w:val="20"/>
              </w:rPr>
              <w:t xml:space="preserve"> z Katedry Logopedii Uniwersytetu Gdańskiego, pod oficjalnym patronatem Polskiego Towarzystwa Logopedycznego.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256">
              <w:rPr>
                <w:rFonts w:ascii="Times New Roman" w:hAnsi="Times New Roman" w:cs="Times New Roman"/>
                <w:sz w:val="16"/>
                <w:szCs w:val="16"/>
              </w:rPr>
              <w:t>/prof. UP, dr hab. Mirosław Michalik/.</w:t>
            </w:r>
          </w:p>
          <w:p w:rsidR="00BA6256" w:rsidRPr="00BA6256" w:rsidRDefault="00BA6256" w:rsidP="00BA62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z jednej strony bezapelacyjnie podtrzymuje najwyższy naukowy poziom tomów wcześniejszych, z drugiej – z dużą naukową śmiałością [...] poszerza granice współczesnej logopedii, redefiniując jej przedmiot. [...] Opiniowane opracowanie składa się z trzec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wyraźnie zaznaczonych części:</w:t>
            </w:r>
          </w:p>
          <w:p w:rsidR="00BA6256" w:rsidRPr="00BA6256" w:rsidRDefault="00BA6256" w:rsidP="00BA625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I – Język i kultura;</w:t>
            </w:r>
          </w:p>
          <w:p w:rsidR="00BA6256" w:rsidRPr="00BA6256" w:rsidRDefault="00BA6256" w:rsidP="00BA625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II – Rozwój osób dwujęzycznych;</w:t>
            </w:r>
          </w:p>
          <w:p w:rsidR="00BA6256" w:rsidRPr="00BA6256" w:rsidRDefault="00BA6256" w:rsidP="00BA625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256">
              <w:rPr>
                <w:rFonts w:ascii="Times New Roman" w:hAnsi="Times New Roman" w:cs="Times New Roman"/>
                <w:sz w:val="20"/>
                <w:szCs w:val="20"/>
              </w:rPr>
              <w:t>III – Różnice kulturowe i językowe a logopedia.</w:t>
            </w:r>
          </w:p>
          <w:p w:rsidR="00F95228" w:rsidRPr="00EB69DF" w:rsidRDefault="00F95228" w:rsidP="00EB69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7" w:rsidRPr="003D1B0D" w:rsidRDefault="00BA6256" w:rsidP="00EB69D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 WP  </w:t>
            </w:r>
            <w:r w:rsidR="00EB69DF" w:rsidRPr="00EB69DF">
              <w:rPr>
                <w:rFonts w:ascii="Times New Roman" w:hAnsi="Times New Roman" w:cs="Times New Roman"/>
                <w:b/>
                <w:sz w:val="20"/>
                <w:szCs w:val="20"/>
              </w:rPr>
              <w:t>112651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C921E7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5F7FBDBD" wp14:editId="429ED28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155575</wp:posOffset>
                  </wp:positionV>
                  <wp:extent cx="1440180" cy="2085975"/>
                  <wp:effectExtent l="0" t="0" r="7620" b="9525"/>
                  <wp:wrapThrough wrapText="bothSides">
                    <wp:wrapPolygon edited="0">
                      <wp:start x="0" y="0"/>
                      <wp:lineTo x="0" y="21501"/>
                      <wp:lineTo x="21429" y="21501"/>
                      <wp:lineTo x="21429" y="0"/>
                      <wp:lineTo x="0" y="0"/>
                    </wp:wrapPolygon>
                  </wp:wrapThrough>
                  <wp:docPr id="1" name="Obraz 1" descr="Logopedia miÄdzykultur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edia miÄdzykultu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EC" w:rsidRDefault="002D2CEC" w:rsidP="00BA62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99" w:rsidRPr="00036172" w:rsidRDefault="00440B99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8E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0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Rodzina wobe</w:t>
            </w:r>
            <w:r w:rsidR="00F33E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c nieuleczalnej choroby dziecka</w:t>
            </w:r>
            <w:bookmarkStart w:id="0" w:name="_GoBack"/>
            <w:bookmarkEnd w:id="0"/>
            <w:r w:rsidRPr="00E10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: aspekty </w:t>
            </w:r>
            <w:proofErr w:type="spellStart"/>
            <w:r w:rsidRPr="00E10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tanatopedagogiczne</w:t>
            </w:r>
            <w:proofErr w:type="spellEnd"/>
            <w:r w:rsidRPr="00E10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/ Grzegorz Godawa. - Kraków : "Impuls", 2018</w:t>
            </w:r>
          </w:p>
          <w:p w:rsid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109FE" w:rsidRP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Celem niniejszej pracy jest próba przedstawienia niektórych doświadczeń codziennego życia rodzin nieuleczalnie chorych dzieci objętych opieką hospicyjną. Książka ma charakter empiryczny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</w:t>
            </w:r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zawiera analizę danych uzyskanych i opracowanych zgodnie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</w:t>
            </w:r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 metodologią teorii ugruntowanej, zinterpretowaną przez K. </w:t>
            </w:r>
            <w:proofErr w:type="spellStart"/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Charmaz</w:t>
            </w:r>
            <w:proofErr w:type="spellEnd"/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Uczestnikami badań byli członkowie rodzin chorych dzieci, którzy podzielili się swoimi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świadczeniami i przemyśleniami.</w:t>
            </w:r>
          </w:p>
          <w:p w:rsid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Książka powstała w celu prezentacji praktycznego wymiaru życia rodziny znajdującej się w specyficznej, niezmiernie trudnej sytuacji choroby i zagrożenia życia dziecka. </w:t>
            </w:r>
            <w:proofErr w:type="spellStart"/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Tanatopedagogiczny</w:t>
            </w:r>
            <w:proofErr w:type="spellEnd"/>
            <w:r w:rsidRPr="00E109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wymiar ludzkiej egzystencji stanowi istotny kontekst podjętych rozważań. Analiza danych uzyskanych w wywiadach i w czasie obserwacji uczestniczącej w życiu rodziny pozwala określić, jak rodziny objęte opieką domowego hospicjum ustosunkowały się do choroby dziecka i do nowych warunków życia. Dzięki temu możliwe jest wskazanie praktycznych sposobów realizacji zadań rodzin dzieci objętych opieką domowego hospicjum.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09FE" w:rsidRP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109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Autor podjął i z powodzeniem zrealizował w ramach badań jakościowych niełatwy temat zmagania się rodzin z nieuleczalną, zagrażającą śmiercią chorobą dziecka i stosowanych przez nie strategii codziennego życia. Badania ukazały trudne doświadczenia i emocje rodziców oraz rodzeństwa chorego dziecka pozostającego pod opieką hospicjum domowego. Problematykę tę Autor przedstawił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E109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 rozdziałach teoretycznych, wykazując się znajomością literatury przedmiotu, a pogłębił prezentacją wyników badań własnych. Ze względu na podjętą problematykę i wartość poznawczą książka jest pozycją godną polecenia. […] Z pewnością jej odbiorcami będą pedagodzy, psychologowie kliniczni, pracownicy hospicjów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E109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i wolontariusze, a także rodzice, którzy znaleźli się w trudnej sytuacji opieki n</w:t>
            </w:r>
            <w:r w:rsidRPr="00E109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ad przewlekle chorym dzieckiem</w:t>
            </w:r>
            <w:r w:rsidRPr="00E109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./</w:t>
            </w:r>
            <w:r w:rsidRPr="00E109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Z recenzji prof. dr hab. Zofii </w:t>
            </w:r>
            <w:proofErr w:type="spellStart"/>
            <w:r w:rsidRPr="00E109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Kawczyńskiej-Butrym</w:t>
            </w:r>
            <w:proofErr w:type="spellEnd"/>
            <w:r w:rsidRPr="00E109F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</w:p>
          <w:p w:rsidR="00E109FE" w:rsidRPr="00E109FE" w:rsidRDefault="00E109FE" w:rsidP="00E109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D1B0D" w:rsidRPr="00023366" w:rsidRDefault="00E109FE" w:rsidP="00E109FE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10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Przemyśl   WP   112667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5578E" w:rsidRDefault="0045578E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13B7B" w:rsidRDefault="00ED375D" w:rsidP="00036172">
            <w:pPr>
              <w:spacing w:after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0BCD91D7" wp14:editId="68609B0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311150</wp:posOffset>
                  </wp:positionV>
                  <wp:extent cx="1294130" cy="1906270"/>
                  <wp:effectExtent l="0" t="0" r="1270" b="0"/>
                  <wp:wrapThrough wrapText="bothSides">
                    <wp:wrapPolygon edited="0">
                      <wp:start x="0" y="0"/>
                      <wp:lineTo x="0" y="21370"/>
                      <wp:lineTo x="21303" y="21370"/>
                      <wp:lineTo x="21303" y="0"/>
                      <wp:lineTo x="0" y="0"/>
                    </wp:wrapPolygon>
                  </wp:wrapThrough>
                  <wp:docPr id="4" name="Obraz 4" descr="http://www.impulsoficyna.com.pl/okladki/small/978-83-8095-393-2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mpulsoficyna.com.pl/okladki/small/978-83-8095-393-2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4BEF" w:rsidRDefault="00774BEF" w:rsidP="005010EA">
      <w:pPr>
        <w:jc w:val="both"/>
      </w:pPr>
    </w:p>
    <w:sectPr w:rsidR="00774BE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A5F"/>
    <w:multiLevelType w:val="hybridMultilevel"/>
    <w:tmpl w:val="D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3CEF"/>
    <w:multiLevelType w:val="hybridMultilevel"/>
    <w:tmpl w:val="985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07D00"/>
    <w:rsid w:val="00015A21"/>
    <w:rsid w:val="00023366"/>
    <w:rsid w:val="00026EBE"/>
    <w:rsid w:val="00036172"/>
    <w:rsid w:val="00037D77"/>
    <w:rsid w:val="00042053"/>
    <w:rsid w:val="00044454"/>
    <w:rsid w:val="00051D5F"/>
    <w:rsid w:val="0007226D"/>
    <w:rsid w:val="000765BA"/>
    <w:rsid w:val="0008304E"/>
    <w:rsid w:val="0008382E"/>
    <w:rsid w:val="00083929"/>
    <w:rsid w:val="000848E7"/>
    <w:rsid w:val="000E102C"/>
    <w:rsid w:val="000E7078"/>
    <w:rsid w:val="000F3458"/>
    <w:rsid w:val="0012523F"/>
    <w:rsid w:val="00127AA6"/>
    <w:rsid w:val="00145FE1"/>
    <w:rsid w:val="001525A6"/>
    <w:rsid w:val="00185186"/>
    <w:rsid w:val="001873CA"/>
    <w:rsid w:val="0019364F"/>
    <w:rsid w:val="001A043E"/>
    <w:rsid w:val="001A7CFB"/>
    <w:rsid w:val="001D733F"/>
    <w:rsid w:val="00205E8B"/>
    <w:rsid w:val="00212662"/>
    <w:rsid w:val="00234544"/>
    <w:rsid w:val="002518B8"/>
    <w:rsid w:val="00252E90"/>
    <w:rsid w:val="00260FF5"/>
    <w:rsid w:val="00274D14"/>
    <w:rsid w:val="002821E0"/>
    <w:rsid w:val="00291B01"/>
    <w:rsid w:val="002B2376"/>
    <w:rsid w:val="002D2CEC"/>
    <w:rsid w:val="002E797A"/>
    <w:rsid w:val="00301AC9"/>
    <w:rsid w:val="003271F5"/>
    <w:rsid w:val="00341078"/>
    <w:rsid w:val="00344283"/>
    <w:rsid w:val="00344C56"/>
    <w:rsid w:val="00357940"/>
    <w:rsid w:val="003A7432"/>
    <w:rsid w:val="003A7EE9"/>
    <w:rsid w:val="003B1530"/>
    <w:rsid w:val="003D1151"/>
    <w:rsid w:val="003D1B0D"/>
    <w:rsid w:val="003E18FA"/>
    <w:rsid w:val="003F3BF9"/>
    <w:rsid w:val="003F76BB"/>
    <w:rsid w:val="00407B35"/>
    <w:rsid w:val="00431473"/>
    <w:rsid w:val="00440B99"/>
    <w:rsid w:val="0045578E"/>
    <w:rsid w:val="00465034"/>
    <w:rsid w:val="004D7255"/>
    <w:rsid w:val="005010EA"/>
    <w:rsid w:val="005104AA"/>
    <w:rsid w:val="00511CDB"/>
    <w:rsid w:val="0052018D"/>
    <w:rsid w:val="00533129"/>
    <w:rsid w:val="00544C35"/>
    <w:rsid w:val="005645A9"/>
    <w:rsid w:val="00584CEA"/>
    <w:rsid w:val="005A0A71"/>
    <w:rsid w:val="005B60E5"/>
    <w:rsid w:val="005C65BD"/>
    <w:rsid w:val="005E6A40"/>
    <w:rsid w:val="00602BDA"/>
    <w:rsid w:val="006368F8"/>
    <w:rsid w:val="00655079"/>
    <w:rsid w:val="00674C9F"/>
    <w:rsid w:val="00677716"/>
    <w:rsid w:val="006B0BAF"/>
    <w:rsid w:val="006D774D"/>
    <w:rsid w:val="006E3D1F"/>
    <w:rsid w:val="007343CC"/>
    <w:rsid w:val="00761507"/>
    <w:rsid w:val="007722B5"/>
    <w:rsid w:val="00774BEF"/>
    <w:rsid w:val="007B118F"/>
    <w:rsid w:val="007B3E3B"/>
    <w:rsid w:val="007C1471"/>
    <w:rsid w:val="007C1DE9"/>
    <w:rsid w:val="007E206A"/>
    <w:rsid w:val="007E21D7"/>
    <w:rsid w:val="007E4DA7"/>
    <w:rsid w:val="007F4724"/>
    <w:rsid w:val="008063BE"/>
    <w:rsid w:val="00813B7B"/>
    <w:rsid w:val="00814757"/>
    <w:rsid w:val="00826E1B"/>
    <w:rsid w:val="008428A1"/>
    <w:rsid w:val="00864536"/>
    <w:rsid w:val="00872984"/>
    <w:rsid w:val="008A1D69"/>
    <w:rsid w:val="008A449B"/>
    <w:rsid w:val="008B06F4"/>
    <w:rsid w:val="008B68AD"/>
    <w:rsid w:val="008C37ED"/>
    <w:rsid w:val="008D12A1"/>
    <w:rsid w:val="008E50F7"/>
    <w:rsid w:val="008E59DA"/>
    <w:rsid w:val="008F3DF3"/>
    <w:rsid w:val="009259B6"/>
    <w:rsid w:val="00965751"/>
    <w:rsid w:val="00965D91"/>
    <w:rsid w:val="0098567A"/>
    <w:rsid w:val="009A577B"/>
    <w:rsid w:val="009A7CD0"/>
    <w:rsid w:val="009B670A"/>
    <w:rsid w:val="009C22D3"/>
    <w:rsid w:val="009C4E75"/>
    <w:rsid w:val="009C61F3"/>
    <w:rsid w:val="009D236F"/>
    <w:rsid w:val="009D536C"/>
    <w:rsid w:val="009F2562"/>
    <w:rsid w:val="00A10859"/>
    <w:rsid w:val="00A1790F"/>
    <w:rsid w:val="00A612DC"/>
    <w:rsid w:val="00AA1ABB"/>
    <w:rsid w:val="00AA33DA"/>
    <w:rsid w:val="00AB49D7"/>
    <w:rsid w:val="00AC4F87"/>
    <w:rsid w:val="00AF21F1"/>
    <w:rsid w:val="00AF270C"/>
    <w:rsid w:val="00AF3B67"/>
    <w:rsid w:val="00B17AD2"/>
    <w:rsid w:val="00B20C68"/>
    <w:rsid w:val="00B27972"/>
    <w:rsid w:val="00B860F0"/>
    <w:rsid w:val="00B9584B"/>
    <w:rsid w:val="00BA05C6"/>
    <w:rsid w:val="00BA3833"/>
    <w:rsid w:val="00BA6256"/>
    <w:rsid w:val="00BD4BFA"/>
    <w:rsid w:val="00BE1A25"/>
    <w:rsid w:val="00BE63E2"/>
    <w:rsid w:val="00BF72B8"/>
    <w:rsid w:val="00C01F97"/>
    <w:rsid w:val="00C07278"/>
    <w:rsid w:val="00C162D0"/>
    <w:rsid w:val="00C3626B"/>
    <w:rsid w:val="00C7312F"/>
    <w:rsid w:val="00C80AF9"/>
    <w:rsid w:val="00C85DFC"/>
    <w:rsid w:val="00C921E7"/>
    <w:rsid w:val="00C945AA"/>
    <w:rsid w:val="00C95B04"/>
    <w:rsid w:val="00CA02A7"/>
    <w:rsid w:val="00CA3A9C"/>
    <w:rsid w:val="00CA4C40"/>
    <w:rsid w:val="00CB56C7"/>
    <w:rsid w:val="00CC4DA6"/>
    <w:rsid w:val="00CE4A86"/>
    <w:rsid w:val="00D045B1"/>
    <w:rsid w:val="00D2194B"/>
    <w:rsid w:val="00D347B4"/>
    <w:rsid w:val="00D45078"/>
    <w:rsid w:val="00D57620"/>
    <w:rsid w:val="00D87749"/>
    <w:rsid w:val="00D93222"/>
    <w:rsid w:val="00D93A52"/>
    <w:rsid w:val="00D96452"/>
    <w:rsid w:val="00DA1146"/>
    <w:rsid w:val="00DA61BE"/>
    <w:rsid w:val="00DE578C"/>
    <w:rsid w:val="00DF21D0"/>
    <w:rsid w:val="00DF4547"/>
    <w:rsid w:val="00E06682"/>
    <w:rsid w:val="00E109FE"/>
    <w:rsid w:val="00E1630E"/>
    <w:rsid w:val="00E41742"/>
    <w:rsid w:val="00E50CA9"/>
    <w:rsid w:val="00E56E9B"/>
    <w:rsid w:val="00E75F08"/>
    <w:rsid w:val="00E8540B"/>
    <w:rsid w:val="00EA078D"/>
    <w:rsid w:val="00EB039D"/>
    <w:rsid w:val="00EB0F91"/>
    <w:rsid w:val="00EB69DF"/>
    <w:rsid w:val="00ED375D"/>
    <w:rsid w:val="00EF69BF"/>
    <w:rsid w:val="00F0596B"/>
    <w:rsid w:val="00F11DD8"/>
    <w:rsid w:val="00F15FBD"/>
    <w:rsid w:val="00F33E50"/>
    <w:rsid w:val="00F3599E"/>
    <w:rsid w:val="00F477F1"/>
    <w:rsid w:val="00F85ED2"/>
    <w:rsid w:val="00F9433D"/>
    <w:rsid w:val="00F95228"/>
    <w:rsid w:val="00FC5684"/>
    <w:rsid w:val="00FE0ADA"/>
    <w:rsid w:val="00FE0B2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C606-625A-4705-8FD1-D26464CB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4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416</cp:revision>
  <cp:lastPrinted>2017-04-10T10:35:00Z</cp:lastPrinted>
  <dcterms:created xsi:type="dcterms:W3CDTF">2015-12-15T12:52:00Z</dcterms:created>
  <dcterms:modified xsi:type="dcterms:W3CDTF">2018-04-06T09:28:00Z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