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BB" w:rsidRDefault="005E6A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Pedagogiczna Biblioteka Wojewódzka w Przemyślu</w:t>
      </w:r>
    </w:p>
    <w:p w:rsidR="00AA1ABB" w:rsidRDefault="005E6A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 xml:space="preserve">Wydział </w:t>
      </w:r>
      <w:proofErr w:type="spellStart"/>
      <w:r>
        <w:rPr>
          <w:rFonts w:ascii="Times New Roman" w:eastAsia="Lucida Sans Unicode" w:hAnsi="Times New Roman" w:cs="Times New Roman"/>
          <w:sz w:val="20"/>
          <w:szCs w:val="20"/>
        </w:rPr>
        <w:t>Informacyjno</w:t>
      </w:r>
      <w:proofErr w:type="spellEnd"/>
      <w:r>
        <w:rPr>
          <w:rFonts w:ascii="Times New Roman" w:eastAsia="Lucida Sans Unicode" w:hAnsi="Times New Roman" w:cs="Times New Roman"/>
          <w:sz w:val="20"/>
          <w:szCs w:val="20"/>
        </w:rPr>
        <w:t xml:space="preserve"> – Bibliograficzny i Czytelnia</w:t>
      </w:r>
    </w:p>
    <w:p w:rsidR="00AA1ABB" w:rsidRDefault="004650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 xml:space="preserve">Na podstawie recenzji wydawnictw zestawiła </w:t>
      </w:r>
      <w:r w:rsidR="005E6A40">
        <w:rPr>
          <w:rFonts w:ascii="Times New Roman" w:eastAsia="Lucida Sans Unicode" w:hAnsi="Times New Roman" w:cs="Times New Roman"/>
          <w:sz w:val="20"/>
          <w:szCs w:val="20"/>
        </w:rPr>
        <w:t>Elżbieta Krupa</w:t>
      </w:r>
    </w:p>
    <w:p w:rsidR="00D347B4" w:rsidRDefault="00D347B4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5104AA" w:rsidRDefault="005104AA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AA1ABB" w:rsidRPr="00C95B04" w:rsidRDefault="005E6A40" w:rsidP="00C95B04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PEDAGOGIKA / PSYCHOLOGIA</w:t>
      </w:r>
    </w:p>
    <w:p w:rsidR="005104AA" w:rsidRDefault="005104A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W w:w="9072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83"/>
        <w:gridCol w:w="3089"/>
      </w:tblGrid>
      <w:tr w:rsidR="00AA1ABB" w:rsidTr="005B60E5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AB49D7" w:rsidRDefault="00AB49D7" w:rsidP="00AB49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9D7">
              <w:rPr>
                <w:rFonts w:ascii="Times New Roman" w:hAnsi="Times New Roman" w:cs="Times New Roman"/>
                <w:b/>
                <w:sz w:val="20"/>
                <w:szCs w:val="20"/>
              </w:rPr>
              <w:t>Zaburzenia przywiązania u dzieci i młodzieży : poradnik dla terapeutów, opiekunów i pedagogów / Chris Taylor ; przeł. Lucyna Wierzbowska. - Sopot : Gdańskie Wydawnictwo Psychologiczne, 2016</w:t>
            </w:r>
          </w:p>
          <w:p w:rsidR="00AF270C" w:rsidRPr="00AF270C" w:rsidRDefault="00AF270C" w:rsidP="00AB49D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270C" w:rsidRDefault="00AF270C" w:rsidP="00DA61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C">
              <w:rPr>
                <w:rFonts w:ascii="Times New Roman" w:hAnsi="Times New Roman" w:cs="Times New Roman"/>
                <w:sz w:val="20"/>
                <w:szCs w:val="20"/>
              </w:rPr>
              <w:t>Książka stanowi cenne źródło praktycznych informacji dla osób opiekujących się dziećmi, które doświadczyły traumy, przemocy czy zaniedbania – w tym dla opiekunów zastępczych i pracowników ośrodków opiekuńczo-wychowawczych – oraz dla wspierających te osoby specjalistów: pedagogów, psychologów i terapeutów.</w:t>
            </w:r>
          </w:p>
          <w:p w:rsidR="00AF270C" w:rsidRPr="00AF270C" w:rsidRDefault="00AF270C" w:rsidP="00DA61B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7B4" w:rsidRPr="00AB49D7" w:rsidRDefault="00AF270C" w:rsidP="00DA61B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0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Lubaczów WL </w:t>
            </w:r>
            <w:r w:rsidR="00AB49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50035, </w:t>
            </w:r>
            <w:r w:rsidR="005A0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Przeworsk WK </w:t>
            </w:r>
            <w:r w:rsidR="00AB49D7" w:rsidRPr="00AB49D7">
              <w:rPr>
                <w:rFonts w:ascii="Times New Roman" w:hAnsi="Times New Roman" w:cs="Times New Roman"/>
                <w:b/>
                <w:sz w:val="20"/>
                <w:szCs w:val="20"/>
              </w:rPr>
              <w:t>52658</w:t>
            </w: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AF270C" w:rsidRPr="00AF270C" w:rsidRDefault="003A7432" w:rsidP="005B60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70C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5A6FF3A3" wp14:editId="13E2A61C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202565</wp:posOffset>
                  </wp:positionV>
                  <wp:extent cx="920115" cy="1330960"/>
                  <wp:effectExtent l="0" t="0" r="0" b="2540"/>
                  <wp:wrapThrough wrapText="bothSides">
                    <wp:wrapPolygon edited="0">
                      <wp:start x="0" y="0"/>
                      <wp:lineTo x="0" y="21332"/>
                      <wp:lineTo x="21019" y="21332"/>
                      <wp:lineTo x="21019" y="0"/>
                      <wp:lineTo x="0" y="0"/>
                    </wp:wrapPolygon>
                  </wp:wrapThrough>
                  <wp:docPr id="1" name="Obraz 1" descr="http://www.gwp.pl/zaburzenia-przywiazania-u-dzieci-i-mlodziezy-poradnik-dla-terapeutow-opiekunow-i-pedagogow.2.14835195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wp.pl/zaburzenia-przywiazania-u-dzieci-i-mlodziezy-poradnik-dla-terapeutow-opiekunow-i-pedagogow.2.14835195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133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1ABB" w:rsidRDefault="00AA1ABB" w:rsidP="005B60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BE" w:rsidRDefault="008063BE" w:rsidP="005B60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ABB" w:rsidTr="00BF72B8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872984" w:rsidRDefault="00872984" w:rsidP="0087298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Pedagogika serca : wychowanie emocjonalne w XXI wieku / red. nauk. Ewa Lewandowska-Tarasiuk, Jan </w:t>
            </w:r>
            <w:proofErr w:type="spellStart"/>
            <w:r w:rsidRPr="00872984">
              <w:rPr>
                <w:rFonts w:ascii="Times New Roman" w:hAnsi="Times New Roman" w:cs="Times New Roman"/>
                <w:b/>
                <w:sz w:val="20"/>
                <w:szCs w:val="20"/>
              </w:rPr>
              <w:t>Łaszczyk</w:t>
            </w:r>
            <w:proofErr w:type="spellEnd"/>
            <w:r w:rsidRPr="00872984">
              <w:rPr>
                <w:rFonts w:ascii="Times New Roman" w:hAnsi="Times New Roman" w:cs="Times New Roman"/>
                <w:b/>
                <w:sz w:val="20"/>
                <w:szCs w:val="20"/>
              </w:rPr>
              <w:t>, Bogusław Śliwerski. - Warszawa : "</w:t>
            </w:r>
            <w:proofErr w:type="spellStart"/>
            <w:r w:rsidRPr="00872984">
              <w:rPr>
                <w:rFonts w:ascii="Times New Roman" w:hAnsi="Times New Roman" w:cs="Times New Roman"/>
                <w:b/>
                <w:sz w:val="20"/>
                <w:szCs w:val="20"/>
              </w:rPr>
              <w:t>Difin</w:t>
            </w:r>
            <w:proofErr w:type="spellEnd"/>
            <w:r w:rsidRPr="00872984">
              <w:rPr>
                <w:rFonts w:ascii="Times New Roman" w:hAnsi="Times New Roman" w:cs="Times New Roman"/>
                <w:b/>
                <w:sz w:val="20"/>
                <w:szCs w:val="20"/>
              </w:rPr>
              <w:t>", 2016</w:t>
            </w:r>
          </w:p>
          <w:p w:rsidR="003A7432" w:rsidRPr="003A7432" w:rsidRDefault="003A7432" w:rsidP="00872984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984" w:rsidRDefault="003A7432" w:rsidP="00872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432">
              <w:rPr>
                <w:rFonts w:ascii="Times New Roman" w:hAnsi="Times New Roman" w:cs="Times New Roman"/>
                <w:sz w:val="20"/>
                <w:szCs w:val="20"/>
              </w:rPr>
              <w:t xml:space="preserve">Książka ma na celu wspieranie i propagowanie idei Pedagogiki serca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3A7432">
              <w:rPr>
                <w:rFonts w:ascii="Times New Roman" w:hAnsi="Times New Roman" w:cs="Times New Roman"/>
                <w:sz w:val="20"/>
                <w:szCs w:val="20"/>
              </w:rPr>
              <w:t xml:space="preserve">i związanej z nią społecznej inicjatywy powołania Komitetu Upowszechniania Wychowania Emocjonalnego Pedagogika Serca, którego honorowym patronem jest Maria Łopatkowa. Celem Komitetu jest uzyskanie zgody Organizacji Narodów Zjednoczonych na dodatkowy wpis w Konwencji Praw Dziecka, odnoszący się do obowiązkowego kształcenia uczuć wyższych w systemach edukacyjnych państw członkowskich ONZ i rozwijania u dzieci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3A7432">
              <w:rPr>
                <w:rFonts w:ascii="Times New Roman" w:hAnsi="Times New Roman" w:cs="Times New Roman"/>
                <w:sz w:val="20"/>
                <w:szCs w:val="20"/>
              </w:rPr>
              <w:t xml:space="preserve">i młodzieży zdolności kochania oraz empatii. Pedagogika Serca powinna stać się dla każdego pedagoga i nauczyciela wyznacznikiem sposobu pracy i jej perspektywą. Nowe pokolenie wychowane w duchu Pedagogiki Serca realizując wzór osobowy Homo </w:t>
            </w:r>
            <w:proofErr w:type="spellStart"/>
            <w:r w:rsidRPr="003A7432">
              <w:rPr>
                <w:rFonts w:ascii="Times New Roman" w:hAnsi="Times New Roman" w:cs="Times New Roman"/>
                <w:sz w:val="20"/>
                <w:szCs w:val="20"/>
              </w:rPr>
              <w:t>Amans</w:t>
            </w:r>
            <w:proofErr w:type="spellEnd"/>
            <w:r w:rsidRPr="003A7432">
              <w:rPr>
                <w:rFonts w:ascii="Times New Roman" w:hAnsi="Times New Roman" w:cs="Times New Roman"/>
                <w:sz w:val="20"/>
                <w:szCs w:val="20"/>
              </w:rPr>
              <w:t xml:space="preserve"> – człowieka miłującego ludzi i świat – człowieka pokoju, rozpoczęłoby pozytywną globalizację świata, zmierzając do upragnionego przez ludzkość celu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3A7432">
              <w:rPr>
                <w:rFonts w:ascii="Times New Roman" w:hAnsi="Times New Roman" w:cs="Times New Roman"/>
                <w:sz w:val="20"/>
                <w:szCs w:val="20"/>
              </w:rPr>
              <w:t>– do trwałego pokoju.</w:t>
            </w:r>
          </w:p>
          <w:p w:rsidR="003A7432" w:rsidRPr="003A7432" w:rsidRDefault="003A7432" w:rsidP="0087298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ABB" w:rsidRPr="00872984" w:rsidRDefault="005A0A71" w:rsidP="008F3DF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Jarosław WJ </w:t>
            </w:r>
            <w:r w:rsidR="00872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56515,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Przeworsk WK </w:t>
            </w:r>
            <w:r w:rsidR="00872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52845,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Przemyśl WP </w:t>
            </w:r>
            <w:r w:rsidR="00872984" w:rsidRPr="00872984">
              <w:rPr>
                <w:rFonts w:ascii="Times New Roman" w:hAnsi="Times New Roman" w:cs="Times New Roman"/>
                <w:b/>
                <w:sz w:val="20"/>
                <w:szCs w:val="20"/>
              </w:rPr>
              <w:t>111138</w:t>
            </w: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  <w:vAlign w:val="center"/>
          </w:tcPr>
          <w:p w:rsidR="00AA1ABB" w:rsidRDefault="003A7432" w:rsidP="00C95B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432">
              <w:rPr>
                <w:rFonts w:ascii="Times New Roman" w:hAnsi="Times New Roman" w:cs="Times New Roman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635</wp:posOffset>
                  </wp:positionV>
                  <wp:extent cx="1067435" cy="1546225"/>
                  <wp:effectExtent l="0" t="0" r="0" b="0"/>
                  <wp:wrapThrough wrapText="bothSides">
                    <wp:wrapPolygon edited="0">
                      <wp:start x="0" y="0"/>
                      <wp:lineTo x="0" y="21290"/>
                      <wp:lineTo x="21202" y="21290"/>
                      <wp:lineTo x="21202" y="0"/>
                      <wp:lineTo x="0" y="0"/>
                    </wp:wrapPolygon>
                  </wp:wrapThrough>
                  <wp:docPr id="2" name="Obraz 2" descr="http://www.ksiegarnia.difin.pl/imgtmp/produkty_2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iegarnia.difin.pl/imgtmp/produkty_26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35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21D7" w:rsidTr="00FF71A8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8B06F4" w:rsidRDefault="008B06F4" w:rsidP="008B06F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Burza w mózgu nastolatka : potencjał okresu dorastania / Daniel J. </w:t>
            </w:r>
            <w:proofErr w:type="spellStart"/>
            <w:r w:rsidRPr="008B06F4">
              <w:rPr>
                <w:rFonts w:ascii="Times New Roman" w:hAnsi="Times New Roman" w:cs="Times New Roman"/>
                <w:b/>
                <w:sz w:val="20"/>
                <w:szCs w:val="20"/>
              </w:rPr>
              <w:t>Siegel</w:t>
            </w:r>
            <w:proofErr w:type="spellEnd"/>
            <w:r w:rsidRPr="008B0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; przekł. z jęz. ang. Karolina Bochenek. - Podkowa Leśna : "</w:t>
            </w:r>
            <w:proofErr w:type="spellStart"/>
            <w:r w:rsidRPr="008B06F4">
              <w:rPr>
                <w:rFonts w:ascii="Times New Roman" w:hAnsi="Times New Roman" w:cs="Times New Roman"/>
                <w:b/>
                <w:sz w:val="20"/>
                <w:szCs w:val="20"/>
              </w:rPr>
              <w:t>MiND</w:t>
            </w:r>
            <w:proofErr w:type="spellEnd"/>
            <w:r w:rsidRPr="008B06F4">
              <w:rPr>
                <w:rFonts w:ascii="Times New Roman" w:hAnsi="Times New Roman" w:cs="Times New Roman"/>
                <w:b/>
                <w:sz w:val="20"/>
                <w:szCs w:val="20"/>
              </w:rPr>
              <w:t>", 2016</w:t>
            </w:r>
          </w:p>
          <w:p w:rsidR="000765BA" w:rsidRPr="000765BA" w:rsidRDefault="000765BA" w:rsidP="008B06F4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06F4" w:rsidRDefault="000765BA" w:rsidP="008B06F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5BA">
              <w:rPr>
                <w:rFonts w:ascii="Times New Roman" w:hAnsi="Times New Roman" w:cs="Times New Roman"/>
                <w:sz w:val="20"/>
                <w:szCs w:val="20"/>
              </w:rPr>
              <w:t xml:space="preserve">To książka, w której neuropsycholog Daniel </w:t>
            </w:r>
            <w:proofErr w:type="spellStart"/>
            <w:r w:rsidRPr="000765BA">
              <w:rPr>
                <w:rFonts w:ascii="Times New Roman" w:hAnsi="Times New Roman" w:cs="Times New Roman"/>
                <w:sz w:val="20"/>
                <w:szCs w:val="20"/>
              </w:rPr>
              <w:t>Siegel</w:t>
            </w:r>
            <w:proofErr w:type="spellEnd"/>
            <w:r w:rsidRPr="000765BA">
              <w:rPr>
                <w:rFonts w:ascii="Times New Roman" w:hAnsi="Times New Roman" w:cs="Times New Roman"/>
                <w:sz w:val="20"/>
                <w:szCs w:val="20"/>
              </w:rPr>
              <w:t xml:space="preserve"> rozprawia się </w:t>
            </w:r>
            <w:r w:rsidR="00EB0F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765BA">
              <w:rPr>
                <w:rFonts w:ascii="Times New Roman" w:hAnsi="Times New Roman" w:cs="Times New Roman"/>
                <w:sz w:val="20"/>
                <w:szCs w:val="20"/>
              </w:rPr>
              <w:t xml:space="preserve">z mitami na temat dorastania i nastolatków. Twierdzi, że zmiany, jakie wtedy zachodzą mają niewiele wspólnego z szalejącymi hormonami, lecz wynikają przede wszystkim z procesów przebudowy mózgu </w:t>
            </w:r>
            <w:r w:rsidR="00EB0F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765BA">
              <w:rPr>
                <w:rFonts w:ascii="Times New Roman" w:hAnsi="Times New Roman" w:cs="Times New Roman"/>
                <w:sz w:val="20"/>
                <w:szCs w:val="20"/>
              </w:rPr>
              <w:t xml:space="preserve">i tworzenia się nowych połączeń. Ten okres od dwunastego do dwudziestego czwartego roku życia decyduje o tym, kim staniemy się w przyszłości. Zdaniem </w:t>
            </w:r>
            <w:proofErr w:type="spellStart"/>
            <w:r w:rsidRPr="000765BA">
              <w:rPr>
                <w:rFonts w:ascii="Times New Roman" w:hAnsi="Times New Roman" w:cs="Times New Roman"/>
                <w:sz w:val="20"/>
                <w:szCs w:val="20"/>
              </w:rPr>
              <w:t>Siegela</w:t>
            </w:r>
            <w:proofErr w:type="spellEnd"/>
            <w:r w:rsidRPr="000765BA">
              <w:rPr>
                <w:rFonts w:ascii="Times New Roman" w:hAnsi="Times New Roman" w:cs="Times New Roman"/>
                <w:sz w:val="20"/>
                <w:szCs w:val="20"/>
              </w:rPr>
              <w:t>, nabywamy wtedy wielu ważnych umiejętności i przygotowujemy się do opuszczenia domu rodzinnego. Skłonność do ryzyka, intensywna emocjonalność, zainteresowanie nowością to ważne i cenne cechy nastolatków, dzięki którym mogą wypracować nowe strategie radzenia sobie z wyzwaniami współczesnego świata.</w:t>
            </w:r>
          </w:p>
          <w:p w:rsidR="000765BA" w:rsidRPr="000765BA" w:rsidRDefault="000765BA" w:rsidP="008B06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D7" w:rsidRPr="00042053" w:rsidRDefault="005A0A71" w:rsidP="008147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Przemyśl WP </w:t>
            </w:r>
            <w:r w:rsidR="008B06F4" w:rsidRPr="008B06F4">
              <w:rPr>
                <w:rFonts w:ascii="Times New Roman" w:hAnsi="Times New Roman" w:cs="Times New Roman"/>
                <w:b/>
                <w:sz w:val="20"/>
                <w:szCs w:val="20"/>
              </w:rPr>
              <w:t>111160</w:t>
            </w: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B20C68" w:rsidRDefault="00D87749" w:rsidP="00D877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49">
              <w:rPr>
                <w:rFonts w:ascii="Times New Roman" w:hAnsi="Times New Roman" w:cs="Times New Roman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630555</wp:posOffset>
                  </wp:positionV>
                  <wp:extent cx="958215" cy="1411605"/>
                  <wp:effectExtent l="0" t="0" r="0" b="0"/>
                  <wp:wrapThrough wrapText="bothSides">
                    <wp:wrapPolygon edited="0">
                      <wp:start x="0" y="0"/>
                      <wp:lineTo x="0" y="21279"/>
                      <wp:lineTo x="21042" y="21279"/>
                      <wp:lineTo x="21042" y="0"/>
                      <wp:lineTo x="0" y="0"/>
                    </wp:wrapPolygon>
                  </wp:wrapThrough>
                  <wp:docPr id="3" name="Obraz 3" descr="Daniel J. Siegel Burza w mózgu nastolatka Potencjał okresu dorastania książ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niel J. Siegel Burza w mózgu nastolatka Potencjał okresu dorastania książ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141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5FE1" w:rsidTr="00FF71A8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145FE1" w:rsidRDefault="00EB0F91" w:rsidP="00145FE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Samobójstwo</w:t>
            </w:r>
            <w:r w:rsidR="00145FE1" w:rsidRPr="00145FE1">
              <w:rPr>
                <w:rFonts w:ascii="Times New Roman" w:hAnsi="Times New Roman" w:cs="Times New Roman"/>
                <w:b/>
                <w:sz w:val="20"/>
                <w:szCs w:val="20"/>
              </w:rPr>
              <w:t>: analiza narracji osób po próbach samobójczych / Justyna Ziółkowska. - Warszawa : Wydawnictwo Naukowe PWN, 2016</w:t>
            </w:r>
          </w:p>
          <w:p w:rsidR="00051D5F" w:rsidRPr="00051D5F" w:rsidRDefault="00051D5F" w:rsidP="00145FE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078D" w:rsidRDefault="00EA078D" w:rsidP="00EA07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8D">
              <w:rPr>
                <w:rFonts w:ascii="Times New Roman" w:hAnsi="Times New Roman" w:cs="Times New Roman"/>
                <w:sz w:val="20"/>
                <w:szCs w:val="20"/>
              </w:rPr>
              <w:t xml:space="preserve">Justyna Ziółkowska analizuje w swojej książce indywidualny i osobisty wymiar zachowań samobójczych. Oddając głos osobom, które podjęły nieskuteczną próbę samobójczą, zyskuje niezwykle cenną i dotychczas nieobecną w literaturze przedmiotu perspektywę. Autorka bada narracje pacjentów dotyczące ich myśli samobójczych, decyzji o samobójstwie, samobójczej próby, postawy wobec dokonanego zamachu oraz konstrukcji przyszłości. Przyjęty w pracy paradygmat jakościowy stanowi kontekst dla wyników badań ilościowych oraz uzupełnia wciąż znikomą wiedzę na temat doświadczeń związanych z </w:t>
            </w:r>
            <w:proofErr w:type="spellStart"/>
            <w:r w:rsidRPr="00EA078D">
              <w:rPr>
                <w:rFonts w:ascii="Times New Roman" w:hAnsi="Times New Roman" w:cs="Times New Roman"/>
                <w:sz w:val="20"/>
                <w:szCs w:val="20"/>
              </w:rPr>
              <w:t>zachowaniami</w:t>
            </w:r>
            <w:proofErr w:type="spellEnd"/>
            <w:r w:rsidRPr="00EA078D">
              <w:rPr>
                <w:rFonts w:ascii="Times New Roman" w:hAnsi="Times New Roman" w:cs="Times New Roman"/>
                <w:sz w:val="20"/>
                <w:szCs w:val="20"/>
              </w:rPr>
              <w:t xml:space="preserve"> samobójczymi.</w:t>
            </w:r>
          </w:p>
          <w:p w:rsidR="00051D5F" w:rsidRPr="00051D5F" w:rsidRDefault="00051D5F" w:rsidP="00EA078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FE1" w:rsidRPr="008B06F4" w:rsidRDefault="00145FE1" w:rsidP="00145FE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FE1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5A0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ubaczów WL </w:t>
            </w:r>
            <w:r w:rsidRPr="00145FE1">
              <w:rPr>
                <w:rFonts w:ascii="Times New Roman" w:hAnsi="Times New Roman" w:cs="Times New Roman"/>
                <w:b/>
                <w:sz w:val="20"/>
                <w:szCs w:val="20"/>
              </w:rPr>
              <w:t>50294</w:t>
            </w: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145FE1" w:rsidRDefault="00EA078D" w:rsidP="00EA07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78D">
              <w:rPr>
                <w:rFonts w:ascii="Times New Roman" w:hAnsi="Times New Roman" w:cs="Times New Roman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403225</wp:posOffset>
                  </wp:positionV>
                  <wp:extent cx="884555" cy="1258570"/>
                  <wp:effectExtent l="0" t="0" r="0" b="0"/>
                  <wp:wrapThrough wrapText="bothSides">
                    <wp:wrapPolygon edited="0">
                      <wp:start x="0" y="0"/>
                      <wp:lineTo x="0" y="21251"/>
                      <wp:lineTo x="20933" y="21251"/>
                      <wp:lineTo x="20933" y="0"/>
                      <wp:lineTo x="0" y="0"/>
                    </wp:wrapPolygon>
                  </wp:wrapThrough>
                  <wp:docPr id="4" name="Obraz 4" descr="Samobójstwo Analiza narracji osób po próbach samobójcz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mobójstwo Analiza narracji osób po próbach samobójcz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7B35" w:rsidTr="00FF71A8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407B35" w:rsidRDefault="00407B35" w:rsidP="00407B3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Filozofia dowcipu : humor jako siła napędowa umysłu / </w:t>
            </w:r>
            <w:proofErr w:type="spellStart"/>
            <w:r w:rsidRPr="00407B35">
              <w:rPr>
                <w:rFonts w:ascii="Times New Roman" w:hAnsi="Times New Roman" w:cs="Times New Roman"/>
                <w:b/>
                <w:sz w:val="20"/>
                <w:szCs w:val="20"/>
              </w:rPr>
              <w:t>Matthew</w:t>
            </w:r>
            <w:proofErr w:type="spellEnd"/>
            <w:r w:rsidRPr="00407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M. </w:t>
            </w:r>
            <w:proofErr w:type="spellStart"/>
            <w:r w:rsidRPr="00407B35">
              <w:rPr>
                <w:rFonts w:ascii="Times New Roman" w:hAnsi="Times New Roman" w:cs="Times New Roman"/>
                <w:b/>
                <w:sz w:val="20"/>
                <w:szCs w:val="20"/>
              </w:rPr>
              <w:t>Hurley</w:t>
            </w:r>
            <w:proofErr w:type="spellEnd"/>
            <w:r w:rsidRPr="00407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Daniel C. </w:t>
            </w:r>
            <w:proofErr w:type="spellStart"/>
            <w:r w:rsidRPr="00407B35">
              <w:rPr>
                <w:rFonts w:ascii="Times New Roman" w:hAnsi="Times New Roman" w:cs="Times New Roman"/>
                <w:b/>
                <w:sz w:val="20"/>
                <w:szCs w:val="20"/>
              </w:rPr>
              <w:t>Dennett</w:t>
            </w:r>
            <w:proofErr w:type="spellEnd"/>
            <w:r w:rsidRPr="00407B35">
              <w:rPr>
                <w:rFonts w:ascii="Times New Roman" w:hAnsi="Times New Roman" w:cs="Times New Roman"/>
                <w:b/>
                <w:sz w:val="20"/>
                <w:szCs w:val="20"/>
              </w:rPr>
              <w:t>, Reginald B. Adams, Jr. ; tł. Rafał Śmietana. - Kraków</w:t>
            </w:r>
            <w:r w:rsidR="009657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 Copernicus Center Press, 2016</w:t>
            </w:r>
          </w:p>
          <w:p w:rsidR="00965751" w:rsidRPr="00965751" w:rsidRDefault="00965751" w:rsidP="00407B3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751" w:rsidRPr="00965751" w:rsidRDefault="00965751" w:rsidP="009657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751">
              <w:rPr>
                <w:rFonts w:ascii="Times New Roman" w:hAnsi="Times New Roman" w:cs="Times New Roman"/>
                <w:sz w:val="20"/>
                <w:szCs w:val="20"/>
              </w:rPr>
              <w:t xml:space="preserve">Humor i śmiech stanowią jedną z cech przynależnych wyłącznie gatunkowi ludzkiemu. Nie wszyscy jednak śmiejemy się z tych samych rzeczy, a przynajmniej uważamy je za zabawne w różnym stopniu. Od czego zatem zależy poczucie humoru? Od inteligencji, cech wrodzonych, a może płci? Czy da się odpowiedzieć na pytanie jak działa ten proces z </w:t>
            </w:r>
            <w:proofErr w:type="spellStart"/>
            <w:r w:rsidRPr="00965751">
              <w:rPr>
                <w:rFonts w:ascii="Times New Roman" w:hAnsi="Times New Roman" w:cs="Times New Roman"/>
                <w:sz w:val="20"/>
                <w:szCs w:val="20"/>
              </w:rPr>
              <w:t>neuronaukowego</w:t>
            </w:r>
            <w:proofErr w:type="spellEnd"/>
            <w:r w:rsidRPr="00965751">
              <w:rPr>
                <w:rFonts w:ascii="Times New Roman" w:hAnsi="Times New Roman" w:cs="Times New Roman"/>
                <w:sz w:val="20"/>
                <w:szCs w:val="20"/>
              </w:rPr>
              <w:t xml:space="preserve"> punktu widzenia?</w:t>
            </w:r>
          </w:p>
          <w:p w:rsidR="00407B35" w:rsidRPr="00965751" w:rsidRDefault="00965751" w:rsidP="009657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751">
              <w:rPr>
                <w:rFonts w:ascii="Times New Roman" w:hAnsi="Times New Roman" w:cs="Times New Roman"/>
                <w:sz w:val="20"/>
                <w:szCs w:val="20"/>
              </w:rPr>
              <w:t xml:space="preserve">W swej błyskotliwej książce autorzy proponują poznawcze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965751">
              <w:rPr>
                <w:rFonts w:ascii="Times New Roman" w:hAnsi="Times New Roman" w:cs="Times New Roman"/>
                <w:sz w:val="20"/>
                <w:szCs w:val="20"/>
              </w:rPr>
              <w:t xml:space="preserve">i ewolucyjne wyjaśnienie tego zjawiska. Ich zdaniem powstało ono </w:t>
            </w:r>
            <w:r w:rsidR="00CB56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965751">
              <w:rPr>
                <w:rFonts w:ascii="Times New Roman" w:hAnsi="Times New Roman" w:cs="Times New Roman"/>
                <w:sz w:val="20"/>
                <w:szCs w:val="20"/>
              </w:rPr>
              <w:t>w odpowiedzi na problemy, które pojawiły się z chwilą, gdy nasi praprzodkowie uzyskali możliwość nieszablonowego myślenia. Przedstawiając swoją własną teorię analizują żarty, przy których czytelnik nie raz się ubawi lub przynajmniej uśmiechnie, w zależności o</w:t>
            </w:r>
            <w:r w:rsidR="00CB56C7">
              <w:rPr>
                <w:rFonts w:ascii="Times New Roman" w:hAnsi="Times New Roman" w:cs="Times New Roman"/>
                <w:sz w:val="20"/>
                <w:szCs w:val="20"/>
              </w:rPr>
              <w:t xml:space="preserve">czywiście od poczucia humoru. </w:t>
            </w:r>
            <w:r w:rsidRPr="00965751">
              <w:rPr>
                <w:rFonts w:ascii="Times New Roman" w:hAnsi="Times New Roman" w:cs="Times New Roman"/>
                <w:sz w:val="20"/>
                <w:szCs w:val="20"/>
              </w:rPr>
              <w:t>Ta książka powinna znaleźć się na półce każdego powa</w:t>
            </w:r>
            <w:r w:rsidRPr="00965751">
              <w:rPr>
                <w:rFonts w:ascii="Times New Roman" w:hAnsi="Times New Roman" w:cs="Times New Roman"/>
                <w:sz w:val="20"/>
                <w:szCs w:val="20"/>
              </w:rPr>
              <w:t>żnego badacza humoru.</w:t>
            </w:r>
          </w:p>
          <w:p w:rsidR="00965751" w:rsidRPr="00965751" w:rsidRDefault="00965751" w:rsidP="0096575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7B35" w:rsidRPr="00145FE1" w:rsidRDefault="005A0A71" w:rsidP="00407B3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Lubaczów WL </w:t>
            </w:r>
            <w:r w:rsidR="00407B35" w:rsidRPr="00407B35">
              <w:rPr>
                <w:rFonts w:ascii="Times New Roman" w:hAnsi="Times New Roman" w:cs="Times New Roman"/>
                <w:b/>
                <w:sz w:val="20"/>
                <w:szCs w:val="20"/>
              </w:rPr>
              <w:t>49818</w:t>
            </w: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407B35" w:rsidRDefault="00036172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72">
              <w:rPr>
                <w:rFonts w:ascii="Times New Roman" w:hAnsi="Times New Roman" w:cs="Times New Roman"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417195</wp:posOffset>
                  </wp:positionV>
                  <wp:extent cx="1045845" cy="1534795"/>
                  <wp:effectExtent l="0" t="0" r="1905" b="8255"/>
                  <wp:wrapThrough wrapText="bothSides">
                    <wp:wrapPolygon edited="0">
                      <wp:start x="0" y="0"/>
                      <wp:lineTo x="0" y="21448"/>
                      <wp:lineTo x="21246" y="21448"/>
                      <wp:lineTo x="21246" y="0"/>
                      <wp:lineTo x="0" y="0"/>
                    </wp:wrapPolygon>
                  </wp:wrapThrough>
                  <wp:docPr id="5" name="Obraz 5" descr="Filozofia dowcipu. Humor jako siła napędowa umysłu - Hurley Matthew M., Dennett Daniel C., Adams Reginald B. J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ozofia dowcipu. Humor jako siła napędowa umysłu - Hurley Matthew M., Dennett Daniel C., Adams Reginald B. J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53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0B99" w:rsidTr="00FF71A8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CB56C7" w:rsidRDefault="00CB56C7" w:rsidP="00CB56C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6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Dziecko z autyzmem : terapia deficytów poznawczych a teoria umysłu / Barbara </w:t>
            </w:r>
            <w:proofErr w:type="spellStart"/>
            <w:r w:rsidRPr="00CB56C7">
              <w:rPr>
                <w:rFonts w:ascii="Times New Roman" w:hAnsi="Times New Roman" w:cs="Times New Roman"/>
                <w:b/>
                <w:sz w:val="20"/>
                <w:szCs w:val="20"/>
              </w:rPr>
              <w:t>Winczura</w:t>
            </w:r>
            <w:proofErr w:type="spellEnd"/>
            <w:r w:rsidRPr="00CB56C7">
              <w:rPr>
                <w:rFonts w:ascii="Times New Roman" w:hAnsi="Times New Roman" w:cs="Times New Roman"/>
                <w:b/>
                <w:sz w:val="20"/>
                <w:szCs w:val="20"/>
              </w:rPr>
              <w:t>. - Wyd. 3. - Kraków : "Impuls", 2016</w:t>
            </w:r>
          </w:p>
          <w:p w:rsidR="00CB56C7" w:rsidRPr="00CB56C7" w:rsidRDefault="00CB56C7" w:rsidP="00CB56C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56C7" w:rsidRPr="00CB56C7" w:rsidRDefault="00CB56C7" w:rsidP="00CB56C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6C7">
              <w:rPr>
                <w:rFonts w:ascii="Times New Roman" w:hAnsi="Times New Roman" w:cs="Times New Roman"/>
                <w:sz w:val="20"/>
                <w:szCs w:val="20"/>
              </w:rPr>
              <w:t xml:space="preserve">Autyzm wczesnodziecięcy należy do tych zespołów zaburzeń psychospołecznego rozwoju dziecka, które budzi żywe zainteresowanie przedstawicieli bardzo wielu dyscyplin nauki: medycyny, psychologii, pedagogiki i socjologii, ale również osób związanych z kulturą i sztuką. Jest bowiem znakiem, czy wręcz piętnem drugiej połowy XX wieku, tym bardziej bolesnym, iż dotyka dziecko we wczesnej fazie jego życia i rozwoju. </w:t>
            </w:r>
          </w:p>
          <w:p w:rsidR="00CB56C7" w:rsidRPr="00CB56C7" w:rsidRDefault="00CB56C7" w:rsidP="00CB56C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6C7">
              <w:rPr>
                <w:rFonts w:ascii="Times New Roman" w:hAnsi="Times New Roman" w:cs="Times New Roman"/>
                <w:sz w:val="20"/>
                <w:szCs w:val="20"/>
              </w:rPr>
              <w:t xml:space="preserve">Praca jest oryginalna i nowatorska, ma duże znaczenie dla teorii </w:t>
            </w:r>
            <w:r w:rsidR="005A0A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CB56C7">
              <w:rPr>
                <w:rFonts w:ascii="Times New Roman" w:hAnsi="Times New Roman" w:cs="Times New Roman"/>
                <w:sz w:val="20"/>
                <w:szCs w:val="20"/>
              </w:rPr>
              <w:t>i praktyki autyzmu wczesnodziecięcego. Autorka zadała sobie trud nawiązania kontaktów z innymi ośrodkami naukowymi, które koncentrują swoje zainteresowania badawcze wokół psychospołecznego rozwoju dzieci autystycznych i postanowiła zrealizować bardzo poważne zadanie – dokonać tłumaczenia techniki, służącej diagnozie rozwoju teorii umysłu oraz programu terapii tej teorii, a następnie sprawdzić drogą eksperymentu pedagogicznego ich przydatność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działaniach interwencyjnych.</w:t>
            </w:r>
          </w:p>
          <w:p w:rsidR="00CB56C7" w:rsidRDefault="00CB56C7" w:rsidP="00CB56C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6C7">
              <w:rPr>
                <w:rFonts w:ascii="Times New Roman" w:hAnsi="Times New Roman" w:cs="Times New Roman"/>
                <w:sz w:val="20"/>
                <w:szCs w:val="20"/>
              </w:rPr>
              <w:t xml:space="preserve">Książka z pewnością będzie przydatna w kształceniu studentów pedagogiki i psychologii. Zainteresuje praktyków związanych </w:t>
            </w:r>
            <w:r w:rsidR="00EB0F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CB56C7">
              <w:rPr>
                <w:rFonts w:ascii="Times New Roman" w:hAnsi="Times New Roman" w:cs="Times New Roman"/>
                <w:sz w:val="20"/>
                <w:szCs w:val="20"/>
              </w:rPr>
              <w:t>z procesem wychowania i edukacji dzieci z autyzmem wczesnodziecięcy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m, a także rodziców tych dzieci.</w:t>
            </w:r>
          </w:p>
          <w:p w:rsidR="00CB56C7" w:rsidRPr="00CB56C7" w:rsidRDefault="00CB56C7" w:rsidP="00CB56C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0B99" w:rsidRPr="00407B35" w:rsidRDefault="005A0A71" w:rsidP="00CB56C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Przemyśl WP </w:t>
            </w:r>
            <w:r w:rsidR="00CB56C7" w:rsidRPr="00CB56C7">
              <w:rPr>
                <w:rFonts w:ascii="Times New Roman" w:hAnsi="Times New Roman" w:cs="Times New Roman"/>
                <w:b/>
                <w:sz w:val="20"/>
                <w:szCs w:val="20"/>
              </w:rPr>
              <w:t>110478</w:t>
            </w: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440B99" w:rsidRPr="00036172" w:rsidRDefault="00CB56C7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C7">
              <w:rPr>
                <w:rFonts w:ascii="Times New Roman" w:hAnsi="Times New Roman" w:cs="Times New Roman"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424180</wp:posOffset>
                  </wp:positionV>
                  <wp:extent cx="1038225" cy="1518285"/>
                  <wp:effectExtent l="0" t="0" r="9525" b="5715"/>
                  <wp:wrapThrough wrapText="bothSides">
                    <wp:wrapPolygon edited="0">
                      <wp:start x="0" y="0"/>
                      <wp:lineTo x="0" y="21410"/>
                      <wp:lineTo x="21402" y="21410"/>
                      <wp:lineTo x="21402" y="0"/>
                      <wp:lineTo x="0" y="0"/>
                    </wp:wrapPolygon>
                  </wp:wrapThrough>
                  <wp:docPr id="6" name="Obraz 6" descr="Dziecko z autyzmem. Terapia deficytów poznawczych i teoria umysłu - Winczura Barb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ziecko z autyzmem. Terapia deficytów poznawczych i teoria umysłu - Winczura Barb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51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D236F" w:rsidRDefault="009D236F" w:rsidP="00CC4DA6">
      <w:pPr>
        <w:jc w:val="both"/>
      </w:pPr>
      <w:bookmarkStart w:id="0" w:name="_GoBack"/>
      <w:bookmarkEnd w:id="0"/>
    </w:p>
    <w:sectPr w:rsidR="009D236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7771"/>
    <w:multiLevelType w:val="hybridMultilevel"/>
    <w:tmpl w:val="EB02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BB"/>
    <w:rsid w:val="00036172"/>
    <w:rsid w:val="00037D77"/>
    <w:rsid w:val="00042053"/>
    <w:rsid w:val="00044454"/>
    <w:rsid w:val="00051D5F"/>
    <w:rsid w:val="000765BA"/>
    <w:rsid w:val="0008382E"/>
    <w:rsid w:val="000E102C"/>
    <w:rsid w:val="00127AA6"/>
    <w:rsid w:val="00145FE1"/>
    <w:rsid w:val="0019364F"/>
    <w:rsid w:val="00205E8B"/>
    <w:rsid w:val="00212662"/>
    <w:rsid w:val="00234544"/>
    <w:rsid w:val="003271F5"/>
    <w:rsid w:val="00341078"/>
    <w:rsid w:val="00344283"/>
    <w:rsid w:val="003A7432"/>
    <w:rsid w:val="003A7EE9"/>
    <w:rsid w:val="003B1530"/>
    <w:rsid w:val="003D1151"/>
    <w:rsid w:val="003F76BB"/>
    <w:rsid w:val="00407B35"/>
    <w:rsid w:val="00440B99"/>
    <w:rsid w:val="00465034"/>
    <w:rsid w:val="005104AA"/>
    <w:rsid w:val="00533129"/>
    <w:rsid w:val="005645A9"/>
    <w:rsid w:val="00584CEA"/>
    <w:rsid w:val="005A0A71"/>
    <w:rsid w:val="005B60E5"/>
    <w:rsid w:val="005E6A40"/>
    <w:rsid w:val="006368F8"/>
    <w:rsid w:val="00655079"/>
    <w:rsid w:val="00677716"/>
    <w:rsid w:val="006D774D"/>
    <w:rsid w:val="00761507"/>
    <w:rsid w:val="007B118F"/>
    <w:rsid w:val="007C1471"/>
    <w:rsid w:val="007C1DE9"/>
    <w:rsid w:val="007E21D7"/>
    <w:rsid w:val="007E4DA7"/>
    <w:rsid w:val="008063BE"/>
    <w:rsid w:val="00814757"/>
    <w:rsid w:val="00826E1B"/>
    <w:rsid w:val="008428A1"/>
    <w:rsid w:val="00872984"/>
    <w:rsid w:val="008A449B"/>
    <w:rsid w:val="008B06F4"/>
    <w:rsid w:val="008B68AD"/>
    <w:rsid w:val="008C37ED"/>
    <w:rsid w:val="008D12A1"/>
    <w:rsid w:val="008E50F7"/>
    <w:rsid w:val="008E59DA"/>
    <w:rsid w:val="008F3DF3"/>
    <w:rsid w:val="00965751"/>
    <w:rsid w:val="0098567A"/>
    <w:rsid w:val="009A7CD0"/>
    <w:rsid w:val="009C22D3"/>
    <w:rsid w:val="009D236F"/>
    <w:rsid w:val="00A10859"/>
    <w:rsid w:val="00A612DC"/>
    <w:rsid w:val="00AA1ABB"/>
    <w:rsid w:val="00AB49D7"/>
    <w:rsid w:val="00AF21F1"/>
    <w:rsid w:val="00AF270C"/>
    <w:rsid w:val="00AF3B67"/>
    <w:rsid w:val="00B17AD2"/>
    <w:rsid w:val="00B20C68"/>
    <w:rsid w:val="00B860F0"/>
    <w:rsid w:val="00BD4BFA"/>
    <w:rsid w:val="00BE1A25"/>
    <w:rsid w:val="00BF72B8"/>
    <w:rsid w:val="00C01F97"/>
    <w:rsid w:val="00C7312F"/>
    <w:rsid w:val="00C80AF9"/>
    <w:rsid w:val="00C95B04"/>
    <w:rsid w:val="00CA4C40"/>
    <w:rsid w:val="00CB56C7"/>
    <w:rsid w:val="00CC4DA6"/>
    <w:rsid w:val="00D2194B"/>
    <w:rsid w:val="00D347B4"/>
    <w:rsid w:val="00D45078"/>
    <w:rsid w:val="00D87749"/>
    <w:rsid w:val="00D93A52"/>
    <w:rsid w:val="00D96452"/>
    <w:rsid w:val="00DA1146"/>
    <w:rsid w:val="00DA61BE"/>
    <w:rsid w:val="00DF21D0"/>
    <w:rsid w:val="00DF4547"/>
    <w:rsid w:val="00E06682"/>
    <w:rsid w:val="00E1630E"/>
    <w:rsid w:val="00E41742"/>
    <w:rsid w:val="00EA078D"/>
    <w:rsid w:val="00EB0F91"/>
    <w:rsid w:val="00EF69BF"/>
    <w:rsid w:val="00F15FBD"/>
    <w:rsid w:val="00F477F1"/>
    <w:rsid w:val="00F9433D"/>
    <w:rsid w:val="00FC5684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8B7"/>
    <w:pPr>
      <w:spacing w:after="20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334FFB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04E8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BF0CA0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0D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04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BD9"/>
    <w:pPr>
      <w:ind w:left="720"/>
      <w:contextualSpacing/>
    </w:pPr>
  </w:style>
  <w:style w:type="paragraph" w:styleId="Stopka">
    <w:name w:val="footer"/>
    <w:basedOn w:val="Normalny"/>
  </w:style>
  <w:style w:type="table" w:styleId="Tabela-Siatka">
    <w:name w:val="Table Grid"/>
    <w:basedOn w:val="Standardowy"/>
    <w:uiPriority w:val="59"/>
    <w:rsid w:val="001848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8B7"/>
    <w:pPr>
      <w:spacing w:after="20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334FFB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04E8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BF0CA0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0D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04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BD9"/>
    <w:pPr>
      <w:ind w:left="720"/>
      <w:contextualSpacing/>
    </w:pPr>
  </w:style>
  <w:style w:type="paragraph" w:styleId="Stopka">
    <w:name w:val="footer"/>
    <w:basedOn w:val="Normalny"/>
  </w:style>
  <w:style w:type="table" w:styleId="Tabela-Siatka">
    <w:name w:val="Table Grid"/>
    <w:basedOn w:val="Standardowy"/>
    <w:uiPriority w:val="59"/>
    <w:rsid w:val="001848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8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9448">
              <w:marLeft w:val="0"/>
              <w:marRight w:val="0"/>
              <w:marTop w:val="0"/>
              <w:marBottom w:val="0"/>
              <w:divBdr>
                <w:top w:val="single" w:sz="6" w:space="0" w:color="CFD1D2"/>
                <w:left w:val="single" w:sz="6" w:space="0" w:color="CFD1D2"/>
                <w:bottom w:val="single" w:sz="6" w:space="0" w:color="CFD1D2"/>
                <w:right w:val="single" w:sz="6" w:space="0" w:color="CFD1D2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Krupa</dc:creator>
  <dc:description/>
  <cp:lastModifiedBy>Elżbieta Krupa</cp:lastModifiedBy>
  <cp:revision>213</cp:revision>
  <cp:lastPrinted>2016-06-09T09:31:00Z</cp:lastPrinted>
  <dcterms:created xsi:type="dcterms:W3CDTF">2015-12-15T12:52:00Z</dcterms:created>
  <dcterms:modified xsi:type="dcterms:W3CDTF">2017-01-07T09:33:00Z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Pedagogiczna Biblioteka Wojewódzka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