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Wydział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Informacyjno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– Bibliograficzny i Czytelnia</w:t>
      </w:r>
    </w:p>
    <w:p w:rsidR="00AA1ABB" w:rsidRDefault="004650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podstawie recenzji wydawnictw zestawiła </w:t>
      </w:r>
      <w:r w:rsidR="005E6A40">
        <w:rPr>
          <w:rFonts w:ascii="Times New Roman" w:eastAsia="Lucida Sans Unicode" w:hAnsi="Times New Roman" w:cs="Times New Roman"/>
          <w:sz w:val="20"/>
          <w:szCs w:val="20"/>
        </w:rPr>
        <w:t>Elżbieta Krupa</w:t>
      </w:r>
    </w:p>
    <w:p w:rsidR="005104AA" w:rsidRDefault="005104A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A1ABB" w:rsidRPr="00C95B04" w:rsidRDefault="005E6A40" w:rsidP="00C95B0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5104AA" w:rsidRDefault="005104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W w:w="907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3"/>
        <w:gridCol w:w="3089"/>
      </w:tblGrid>
      <w:tr w:rsidR="00AA1ABB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08304E" w:rsidRPr="0008304E" w:rsidRDefault="0008304E" w:rsidP="000830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7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Współczesne modele i strategie resocjalizacji</w:t>
            </w:r>
            <w:r w:rsidRPr="000830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 red. nauk. Robert Opora [i in]. - Warszawa : "</w:t>
            </w:r>
            <w:proofErr w:type="spellStart"/>
            <w:r w:rsidRPr="000830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Difin</w:t>
            </w:r>
            <w:proofErr w:type="spellEnd"/>
            <w:r w:rsidRPr="000830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", 2017</w:t>
            </w:r>
          </w:p>
          <w:p w:rsidR="0008304E" w:rsidRPr="00023366" w:rsidRDefault="0008304E" w:rsidP="000830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1873CA" w:rsidRPr="001873CA" w:rsidRDefault="001873CA" w:rsidP="001873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73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Każdy w swoim życiu styka się ze zjawiskami patologii społecznej. Warto zauważyć, że istnieje szereg publikacji koncentrujących się wyłącznie na teoretycznych zagadnieniach. Niniejsza książka jest próbą zbudowania pomostu pomiędzy teorią a praktyką resocjalizacyjną. Zakłada wskazanie nowych kierunków badawczych i metodycznych.</w:t>
            </w:r>
          </w:p>
          <w:p w:rsidR="001873CA" w:rsidRPr="001873CA" w:rsidRDefault="001873CA" w:rsidP="001873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1873CA" w:rsidRPr="001873CA" w:rsidRDefault="001873CA" w:rsidP="001873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73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Publikacja skierowana jest do osób, które chcą się dowiedzieć, jak umiejętnie łączyć teorię z praktyką, aby skutecznie osiągać zamierzone cele wychowawcze, terapeutyczne i resocjalizacyjne. Czytelnicy dowiedzą się, jakie są współczesne tendencje w resocjalizacji oraz jakie dylematy pojawiają się w pracy wychowawczej. Obok pracowników instytucji podejmujących działania na rzecz osób naruszających normy społeczne i ich rodzin publikacja, ze względu na opisywane badania naukowe, zainteresuje również badaczy tych zagadnień.</w:t>
            </w:r>
          </w:p>
          <w:p w:rsidR="001873CA" w:rsidRPr="001873CA" w:rsidRDefault="001873CA" w:rsidP="001873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  <w:shd w:val="clear" w:color="auto" w:fill="FFFFFF"/>
              </w:rPr>
            </w:pPr>
          </w:p>
          <w:p w:rsidR="0008304E" w:rsidRDefault="001873CA" w:rsidP="001873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73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Książka prezentuje nowatorskie spojrzenie na zagadnienia dotyczące resocjalizacji. Celem publikacji jest opisanie modeli resocjalizacyjnych oraz praktycznych strategii przydatnych w pracy resocjalizacyjnej </w:t>
            </w:r>
            <w:r w:rsidR="00C945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</w:t>
            </w:r>
            <w:r w:rsidRPr="001873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 dziećmi, młodzieżą i dorosłymi. Poznanie przedstawionych w niej treści sprawi, że czytelnicy z większą odwagą i pewnością będą rozwiązywać problemy w obszarze zjawisk patologii społecznej. Zdobytą wiedzę będą mogli wykorzystywać dla siebie oraz innych, poznają wiele nowych i interesujących sposobów rozumienia interwencji resocjalizacyjnych. Jednocześnie będą mogli również uniknąć wielu konfliktów, dzięki czemu poczują się lepiej i zaczną pewniej wykonywać swoją pracę.</w:t>
            </w:r>
          </w:p>
          <w:p w:rsidR="0008304E" w:rsidRPr="00023366" w:rsidRDefault="0008304E" w:rsidP="0008304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347B4" w:rsidRPr="00AB49D7" w:rsidRDefault="006E3D1F" w:rsidP="005C65B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Przemyśl </w:t>
            </w:r>
            <w:hyperlink r:id="rId7" w:history="1">
              <w:r w:rsidR="0008304E" w:rsidRPr="006E3D1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WP</w:t>
              </w:r>
            </w:hyperlink>
            <w:r w:rsidRPr="006E3D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8304E" w:rsidRPr="006E3D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112024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AF270C" w:rsidRDefault="00AF270C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2E90" w:rsidRPr="00AF270C" w:rsidRDefault="00252E90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BB" w:rsidRDefault="001873CA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E310C1" wp14:editId="5606A1A4">
                  <wp:extent cx="1306193" cy="1892410"/>
                  <wp:effectExtent l="0" t="0" r="8890" b="0"/>
                  <wp:docPr id="1" name="Obraz 1" descr="http://www.ksiegarnia.difin.pl/imgtmp/produkty_2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siegarnia.difin.pl/imgtmp/produkty_2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71" cy="18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3BE" w:rsidRDefault="008063BE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A7" w:rsidRDefault="00CA02A7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1D7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9D536C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74BEF" w:rsidRDefault="00AA33DA" w:rsidP="00774BE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Dziesięć rzeczy, o których chciałoby ci powiedzieć dziecko </w:t>
            </w:r>
          </w:p>
          <w:p w:rsidR="00AA33DA" w:rsidRPr="00AA33DA" w:rsidRDefault="00AA33DA" w:rsidP="00774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EF">
              <w:rPr>
                <w:rFonts w:ascii="Times New Roman" w:hAnsi="Times New Roman" w:cs="Times New Roman"/>
                <w:b/>
                <w:sz w:val="20"/>
                <w:szCs w:val="20"/>
              </w:rPr>
              <w:t>z autyzmem</w:t>
            </w:r>
            <w:r w:rsidRPr="00AA33D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AA33DA">
              <w:rPr>
                <w:rFonts w:ascii="Times New Roman" w:hAnsi="Times New Roman" w:cs="Times New Roman"/>
                <w:sz w:val="20"/>
                <w:szCs w:val="20"/>
              </w:rPr>
              <w:t>Ellen</w:t>
            </w:r>
            <w:proofErr w:type="spellEnd"/>
            <w:r w:rsidRPr="00AA3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3DA">
              <w:rPr>
                <w:rFonts w:ascii="Times New Roman" w:hAnsi="Times New Roman" w:cs="Times New Roman"/>
                <w:sz w:val="20"/>
                <w:szCs w:val="20"/>
              </w:rPr>
              <w:t>Notbohm</w:t>
            </w:r>
            <w:proofErr w:type="spellEnd"/>
            <w:r w:rsidRPr="00AA33DA">
              <w:rPr>
                <w:rFonts w:ascii="Times New Roman" w:hAnsi="Times New Roman" w:cs="Times New Roman"/>
                <w:sz w:val="20"/>
                <w:szCs w:val="20"/>
              </w:rPr>
              <w:t xml:space="preserve"> ; przekł. Marzena Szymańska-</w:t>
            </w:r>
            <w:proofErr w:type="spellStart"/>
            <w:r w:rsidRPr="00AA33DA">
              <w:rPr>
                <w:rFonts w:ascii="Times New Roman" w:hAnsi="Times New Roman" w:cs="Times New Roman"/>
                <w:sz w:val="20"/>
                <w:szCs w:val="20"/>
              </w:rPr>
              <w:t>Błotnicka</w:t>
            </w:r>
            <w:proofErr w:type="spellEnd"/>
            <w:r w:rsidRPr="00AA33DA">
              <w:rPr>
                <w:rFonts w:ascii="Times New Roman" w:hAnsi="Times New Roman" w:cs="Times New Roman"/>
                <w:sz w:val="20"/>
                <w:szCs w:val="20"/>
              </w:rPr>
              <w:t>. - Wyd. 1 w nowej edycji. - Kraków : Uniwersytet Jagielloński, 2017</w:t>
            </w:r>
          </w:p>
          <w:p w:rsidR="00AA33DA" w:rsidRPr="00023366" w:rsidRDefault="00AA33DA" w:rsidP="00AA33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A86" w:rsidRDefault="00774BEF" w:rsidP="00CE4A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BEF">
              <w:rPr>
                <w:rFonts w:ascii="Times New Roman" w:hAnsi="Times New Roman" w:cs="Times New Roman"/>
                <w:sz w:val="20"/>
                <w:szCs w:val="20"/>
              </w:rPr>
              <w:t xml:space="preserve">Pełna przenikliwych spostrzeżeń, współczucia i humoru, ponadczasowa książka opisująca „dziesięć rzeczy”, które pomagają zrozumieć – nie zdefiniować – dzieci z autyzmem. W odróżnieniu od innych publikacji na temat autyzmu pozwala spojrzeć na świat oczami dziecka, usłyszeć jego głos, który w narastającej wokół autyzmu wrzawie często bywa niesłyszany. Publikacja </w:t>
            </w:r>
            <w:proofErr w:type="spellStart"/>
            <w:r w:rsidRPr="00774BEF">
              <w:rPr>
                <w:rFonts w:ascii="Times New Roman" w:hAnsi="Times New Roman" w:cs="Times New Roman"/>
                <w:sz w:val="20"/>
                <w:szCs w:val="20"/>
              </w:rPr>
              <w:t>Ellen</w:t>
            </w:r>
            <w:proofErr w:type="spellEnd"/>
            <w:r w:rsidRPr="00774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EF">
              <w:rPr>
                <w:rFonts w:ascii="Times New Roman" w:hAnsi="Times New Roman" w:cs="Times New Roman"/>
                <w:sz w:val="20"/>
                <w:szCs w:val="20"/>
              </w:rPr>
              <w:t>Notbohm</w:t>
            </w:r>
            <w:proofErr w:type="spellEnd"/>
            <w:r w:rsidRPr="00774BEF">
              <w:rPr>
                <w:rFonts w:ascii="Times New Roman" w:hAnsi="Times New Roman" w:cs="Times New Roman"/>
                <w:sz w:val="20"/>
                <w:szCs w:val="20"/>
              </w:rPr>
              <w:t xml:space="preserve"> powinna się stać obowiązkową lekturą wszystkich rodziców, krewnych, pracowników społecznych, nauczycieli oraz terapeutów dzieci z autyzmem.</w:t>
            </w:r>
          </w:p>
          <w:p w:rsidR="00CE4A86" w:rsidRPr="00CE4A86" w:rsidRDefault="00CE4A86" w:rsidP="00CE4A86">
            <w:pPr>
              <w:spacing w:after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E4A86" w:rsidRDefault="00774BEF" w:rsidP="00CE4A8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4BE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CE4A86">
              <w:rPr>
                <w:rFonts w:ascii="Times New Roman" w:hAnsi="Times New Roman" w:cs="Times New Roman"/>
                <w:i/>
                <w:sz w:val="20"/>
                <w:szCs w:val="20"/>
              </w:rPr>
              <w:t>Ellen</w:t>
            </w:r>
            <w:proofErr w:type="spellEnd"/>
            <w:r w:rsidRPr="00CE4A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E4A86">
              <w:rPr>
                <w:rFonts w:ascii="Times New Roman" w:hAnsi="Times New Roman" w:cs="Times New Roman"/>
                <w:i/>
                <w:sz w:val="20"/>
                <w:szCs w:val="20"/>
              </w:rPr>
              <w:t>Notbohm</w:t>
            </w:r>
            <w:proofErr w:type="spellEnd"/>
            <w:r w:rsidRPr="00CE4A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 raz kolejny przypomina nam, że powinniśmy się więcej uczyć niż nauczać innych i że powinniśmy więcej słu</w:t>
            </w:r>
            <w:r w:rsidR="00CE4A86" w:rsidRPr="00CE4A86">
              <w:rPr>
                <w:rFonts w:ascii="Times New Roman" w:hAnsi="Times New Roman" w:cs="Times New Roman"/>
                <w:i/>
                <w:sz w:val="20"/>
                <w:szCs w:val="20"/>
              </w:rPr>
              <w:t>chać niż mówić”/</w:t>
            </w:r>
            <w:r w:rsidRPr="00CE4A86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dr Paula </w:t>
            </w:r>
            <w:proofErr w:type="spellStart"/>
            <w:r w:rsidRPr="00CE4A86">
              <w:rPr>
                <w:rFonts w:ascii="Times New Roman" w:hAnsi="Times New Roman" w:cs="Times New Roman"/>
                <w:iCs/>
                <w:sz w:val="16"/>
                <w:szCs w:val="16"/>
              </w:rPr>
              <w:t>Kluth</w:t>
            </w:r>
            <w:proofErr w:type="spellEnd"/>
            <w:r w:rsidRPr="00CE4A86">
              <w:rPr>
                <w:rFonts w:ascii="Times New Roman" w:hAnsi="Times New Roman" w:cs="Times New Roman"/>
                <w:iCs/>
                <w:sz w:val="16"/>
                <w:szCs w:val="16"/>
              </w:rPr>
              <w:t>, doradca ds. autyzmu</w:t>
            </w:r>
            <w:r w:rsidR="00CE4A86" w:rsidRPr="00CE4A86">
              <w:rPr>
                <w:rFonts w:ascii="Times New Roman" w:hAnsi="Times New Roman" w:cs="Times New Roman"/>
                <w:iCs/>
                <w:sz w:val="16"/>
                <w:szCs w:val="16"/>
              </w:rPr>
              <w:t>/</w:t>
            </w:r>
          </w:p>
          <w:p w:rsidR="00CE4A86" w:rsidRPr="00CE4A86" w:rsidRDefault="00CE4A86" w:rsidP="00CE4A8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6"/>
                <w:szCs w:val="6"/>
              </w:rPr>
            </w:pPr>
          </w:p>
          <w:p w:rsidR="00CE4A86" w:rsidRPr="00CE4A86" w:rsidRDefault="00774BEF" w:rsidP="00CE4A8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4BE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CE4A86">
              <w:rPr>
                <w:rFonts w:ascii="Times New Roman" w:hAnsi="Times New Roman" w:cs="Times New Roman"/>
                <w:i/>
                <w:sz w:val="20"/>
                <w:szCs w:val="20"/>
              </w:rPr>
              <w:t>Tylko ta publikacja w 100% wyjaśniła zachowanie mojego syna. Nikt, nawet lekarze, nie potrafił wytłumaczyć mi, co czuje mój syn. Często powtarzałam: «Jak bardzo chciałabym móc spojrzeć na świat jego oczami, choćby przez jeden dzień». Ta książka mi to umożliwiła</w:t>
            </w:r>
            <w:r w:rsidRPr="00774B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E4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A86" w:rsidRPr="00CE4A8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E4A86">
              <w:rPr>
                <w:rFonts w:ascii="Times New Roman" w:hAnsi="Times New Roman" w:cs="Times New Roman"/>
                <w:iCs/>
                <w:sz w:val="16"/>
                <w:szCs w:val="16"/>
              </w:rPr>
              <w:t>Caroline Nel, rodzic dziecka z autyzmem</w:t>
            </w:r>
            <w:r w:rsidR="00CE4A86" w:rsidRPr="00CE4A86">
              <w:rPr>
                <w:rFonts w:ascii="Times New Roman" w:hAnsi="Times New Roman" w:cs="Times New Roman"/>
                <w:iCs/>
                <w:sz w:val="16"/>
                <w:szCs w:val="16"/>
              </w:rPr>
              <w:t>/</w:t>
            </w:r>
          </w:p>
          <w:p w:rsidR="00CE4A86" w:rsidRPr="00023366" w:rsidRDefault="00CE4A86" w:rsidP="00AA33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D7" w:rsidRDefault="00AA33DA" w:rsidP="00CE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3DA">
              <w:rPr>
                <w:rFonts w:ascii="Times New Roman" w:hAnsi="Times New Roman" w:cs="Times New Roman"/>
                <w:sz w:val="20"/>
                <w:szCs w:val="20"/>
              </w:rPr>
              <w:t>Przeworsk   WK   53012</w:t>
            </w:r>
            <w:r w:rsidRPr="00AA33D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23366" w:rsidRPr="00CE4A86" w:rsidRDefault="00023366" w:rsidP="00CE4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CE4A86" w:rsidRDefault="00CE4A86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01" w:rsidRDefault="00291B01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01" w:rsidRDefault="00291B01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B01" w:rsidRDefault="00291B01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724" w:rsidRDefault="00774BEF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773EF23" wp14:editId="15A9F466">
                  <wp:simplePos x="0" y="0"/>
                  <wp:positionH relativeFrom="column">
                    <wp:posOffset>266138</wp:posOffset>
                  </wp:positionH>
                  <wp:positionV relativeFrom="paragraph">
                    <wp:posOffset>9525</wp:posOffset>
                  </wp:positionV>
                  <wp:extent cx="1359673" cy="1912143"/>
                  <wp:effectExtent l="0" t="0" r="0" b="0"/>
                  <wp:wrapNone/>
                  <wp:docPr id="4" name="Obraz 4" descr="Dziesięć rzeczy, o których chciałoby ci powiedzieć dziecko z autyzmem - Notbohm El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ziesięć rzeczy, o których chciałoby ci powiedzieć dziecko z autyzmem - Notbohm El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3" cy="191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7B35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AA33DA" w:rsidRPr="00AA33DA" w:rsidRDefault="00AA33DA" w:rsidP="00813B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B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Psychologia relacji, czyli Jak budować świadome związki </w:t>
            </w:r>
            <w:r w:rsidR="00813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Pr="00813B7B">
              <w:rPr>
                <w:rFonts w:ascii="Times New Roman" w:hAnsi="Times New Roman" w:cs="Times New Roman"/>
                <w:b/>
                <w:sz w:val="20"/>
                <w:szCs w:val="20"/>
              </w:rPr>
              <w:t>z partnerem, dziećmi i rodzicami</w:t>
            </w:r>
            <w:r w:rsidRPr="00AA33DA">
              <w:rPr>
                <w:rFonts w:ascii="Times New Roman" w:hAnsi="Times New Roman" w:cs="Times New Roman"/>
                <w:sz w:val="20"/>
                <w:szCs w:val="20"/>
              </w:rPr>
              <w:t xml:space="preserve"> / Mateusz Grzesiak. - Gliwice : "Helion", 2017</w:t>
            </w:r>
          </w:p>
          <w:p w:rsidR="00AA33DA" w:rsidRPr="00023366" w:rsidRDefault="00AA33DA" w:rsidP="00AA33DA">
            <w:pPr>
              <w:spacing w:after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813B7B" w:rsidRPr="00813B7B" w:rsidRDefault="004D7255" w:rsidP="0045578E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13B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Wszystko, co dobre i złe w człowieku, bierze się z najwcześniejszego etapu życia — życia w rodzinie. To właśnie ona daje mentalny, emocjonalny, relacyjny i moralny kręgosłup, z którym młoda osoba rusza w świat. Jeśli ten ekwipunek okaże się słabej jakości, prawdopodobieństwo bycia szczęśliwym i odnoszącym sukcesy dorosłym znacznie spada. Nieuleczone rany rodziców przechodzą na nieświadome dzieci, które bez odpowiednich wzorców nie radzą sobie w życiu tak, jakby mogły. Aż 40%  polskich małżeństw się rozwodzi, często bez dojrzałości i klasy. Niektóre rodzinne spory ciągną się latami. Problemy z domu przenosimy na pracę, przez co cierpimy, chorujemy, a nawet tracimy poczucie sensu życia i nadzieję na przyszłość. </w:t>
            </w:r>
          </w:p>
          <w:p w:rsidR="00AA33DA" w:rsidRPr="0045578E" w:rsidRDefault="004D7255" w:rsidP="004557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13B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Dlaczego tak się dzieje? Bo nie potrafimy ze sobą rozmawiać. Używamy słów jedynie do wymiany uwag i informacji albo do ranienia innych. Tymczasem umiejętnie przeprowadzony dialog to potężny sprzymierzeniec w budowaniu świadomych związków z osobami, które są dla nas najważniejsze. Ten dialog jest oparty na sprawdzonej naukowo, psychologicznej wiedzy, podanej w przystępny sposób. </w:t>
            </w:r>
            <w:r w:rsidR="00813B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 w:rsidRPr="00813B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I dlatego właśnie powstała ta książka. Pomoże Ci ona uniknąć wielu konfliktów z bliskimi i uleczyć niedziałające relacje. Być może ochroni przed niepotrzebnym rozstaniem. Bez dwóch zdań ułatwi komunikację z bliskimi, usprawni emocje między Wami, powie dokładnie, jak i co robić w sytuacjach rodzinnych. To piękna książka </w:t>
            </w:r>
            <w:r w:rsidR="00813B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              </w:t>
            </w:r>
            <w:r w:rsidRPr="00813B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z fascynującą, potrzebną do życia wiedzą</w:t>
            </w:r>
            <w:r w:rsidRPr="004557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813B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13B7B" w:rsidRPr="00813B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</w:t>
            </w:r>
            <w:r w:rsidRPr="00813B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Mateusz Grzesiak — międzynarodowy nauczyciel, psycholog, </w:t>
            </w:r>
            <w:proofErr w:type="spellStart"/>
            <w:r w:rsidRPr="00813B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coach</w:t>
            </w:r>
            <w:proofErr w:type="spellEnd"/>
            <w:r w:rsidRPr="00813B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i trener</w:t>
            </w:r>
            <w:r w:rsidR="00813B7B" w:rsidRPr="00813B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/</w:t>
            </w:r>
          </w:p>
          <w:p w:rsidR="004D7255" w:rsidRPr="00023366" w:rsidRDefault="004D7255" w:rsidP="0045578E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3A9C" w:rsidRPr="00813B7B" w:rsidRDefault="00AA33DA" w:rsidP="00E75F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78E">
              <w:rPr>
                <w:rFonts w:ascii="Times New Roman" w:hAnsi="Times New Roman" w:cs="Times New Roman"/>
                <w:sz w:val="20"/>
                <w:szCs w:val="20"/>
              </w:rPr>
              <w:t>Lubaczów   WL   50623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CA3A9C" w:rsidRDefault="00CA3A9C" w:rsidP="00036172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:rsidR="00407B35" w:rsidRDefault="0045578E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3411A900" wp14:editId="248D2477">
                  <wp:simplePos x="0" y="0"/>
                  <wp:positionH relativeFrom="column">
                    <wp:posOffset>278538</wp:posOffset>
                  </wp:positionH>
                  <wp:positionV relativeFrom="paragraph">
                    <wp:posOffset>396719</wp:posOffset>
                  </wp:positionV>
                  <wp:extent cx="1258470" cy="1785668"/>
                  <wp:effectExtent l="0" t="0" r="0" b="5080"/>
                  <wp:wrapNone/>
                  <wp:docPr id="6" name="Obraz 6" descr="Okładka książki Psychologia relacji, czyli jak budować świadome związki z partnerem, dziećmi i rodzic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ładka książki Psychologia relacji, czyli jak budować świadome związki z partnerem, dziećmi i rodzic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70" cy="178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0B99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015A21" w:rsidRPr="00015A21" w:rsidRDefault="00015A21" w:rsidP="000848E7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11DD8" w:rsidRPr="003D1B0D" w:rsidRDefault="003D1B0D" w:rsidP="00F11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1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Autyzm i problemy natury sensorycznej</w:t>
            </w:r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Temple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Grandin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 [przekł. Juliusz Okuniewski]. - Gdańsk : "Harmonia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Universalis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", 2017.</w:t>
            </w:r>
          </w:p>
          <w:p w:rsidR="003D1B0D" w:rsidRPr="00023366" w:rsidRDefault="003D1B0D" w:rsidP="003D1B0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D1B0D" w:rsidRDefault="003D1B0D" w:rsidP="003D1B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 niniejszej publikacji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Temple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Grandin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wysoko funkcjonująca osoba z autyzmem, doktor zoologii i znana na całym świecie działaczka na rzecz dobrostanu zwierząt – opowiada o swoim dzieciństwie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 problemach związanych z dorastaniem z perspektywy osoby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</w:t>
            </w:r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 zaburzeniami z ASD. Doświadczenia własne autorki stanowią pretekst do przekazania Czytelnikowi rad dotyczących wychowywania dziecka z autyzmem. W książce skupiono się na sposobie myślenia osób ze spektrum oraz na problemach sensorycznych.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Grandin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używa prostego języka, a jej narracja nie przytłacza nadmiarem faktów naukowych.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D1B0D" w:rsidRPr="00023366" w:rsidRDefault="003D1B0D" w:rsidP="003D1B0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D1B0D" w:rsidRPr="003D1B0D" w:rsidRDefault="003D1B0D" w:rsidP="003D1B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Przemyśl </w:t>
            </w:r>
            <w:hyperlink r:id="rId11" w:history="1">
              <w:r w:rsidRPr="003D1B0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WP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112151</w:t>
            </w:r>
            <w:r w:rsidRPr="003D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Przeworsk </w:t>
            </w:r>
            <w:hyperlink r:id="rId12" w:history="1">
              <w:r w:rsidRPr="003D1B0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53193</w:t>
            </w:r>
            <w:r w:rsidRPr="003D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D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Lubaczó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 </w:t>
            </w:r>
            <w:hyperlink r:id="rId13" w:history="1">
              <w:r w:rsidRPr="003D1B0D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WL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D1B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50691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0F3458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1FA49DFD" wp14:editId="094DB2AE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119380</wp:posOffset>
                  </wp:positionV>
                  <wp:extent cx="1083945" cy="1543050"/>
                  <wp:effectExtent l="0" t="0" r="1905" b="0"/>
                  <wp:wrapNone/>
                  <wp:docPr id="2" name="Obraz 2" descr="https://www.harmonia.edu.pl/userdata/gfx/bdd2c2488a20338354a01b154ab0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armonia.edu.pl/userdata/gfx/bdd2c2488a20338354a01b154ab0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B0D" w:rsidRDefault="003D1B0D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EC" w:rsidRDefault="002D2CE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CC" w:rsidRDefault="007343C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CC" w:rsidRDefault="007343C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CEC" w:rsidRDefault="002D2CEC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B99" w:rsidRPr="00036172" w:rsidRDefault="00440B99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5578E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3D1B0D" w:rsidRPr="003D1B0D" w:rsidRDefault="003D1B0D" w:rsidP="003D1B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1B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Bajki, które uczą, jak być szczęśliwym</w:t>
            </w:r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Begoña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Ibarrola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Jesús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Gabán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 przeł. Katarzyna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Okrasko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Warszawa :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Finebooks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Grupa Wydaw. </w:t>
            </w:r>
            <w:proofErr w:type="spellStart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Adamantan</w:t>
            </w:r>
            <w:proofErr w:type="spellEnd"/>
            <w:r w:rsidRPr="003D1B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2017.</w:t>
            </w:r>
          </w:p>
          <w:p w:rsidR="003D1B0D" w:rsidRPr="00023366" w:rsidRDefault="003D1B0D" w:rsidP="003D1B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23366" w:rsidRDefault="00023366" w:rsidP="003D1B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33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Wszyscy rodzice pragną szczęścia dla swoich dzieci. Nie wszyscy jednak potrafią je nauczyć, jak być szczęśliwym. Specjaliści uważa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ją, że jest możliwe takie wycho</w:t>
            </w:r>
            <w:r w:rsidRPr="000233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wanie dzieci, które pozwoli im cieszyć się pełnią szczęścia. "Bajki, które uczą, jak być szczęśliwym" otwierają cykl trzech zbiorów opowiadań rozwijających inteligencję emocjonalną u dzieci. Każdy rozdział zawiera dwie bajki. Ich sympatyczni bohaterowie ukazywani są w sytuacjach, dzięki którym dzieciom łatwiej jest zrozumieć i przyswoić określone umiejętności i postawy. Bajkom towarzyszą wskazówki dla rodziców oraz propozycje wspólnych zajęć i zabaw z dziećmi. </w:t>
            </w:r>
          </w:p>
          <w:p w:rsidR="00023366" w:rsidRPr="00023366" w:rsidRDefault="00023366" w:rsidP="003D1B0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D1B0D" w:rsidRPr="00023366" w:rsidRDefault="00023366" w:rsidP="003D1B0D">
            <w:pPr>
              <w:spacing w:after="0"/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Przeworsk </w:t>
            </w:r>
            <w:hyperlink r:id="rId15" w:history="1">
              <w:r w:rsidR="003D1B0D" w:rsidRPr="0002336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WK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D1B0D" w:rsidRPr="000233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53220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5578E" w:rsidRDefault="0045578E" w:rsidP="00036172">
            <w:pPr>
              <w:spacing w:after="0"/>
              <w:jc w:val="center"/>
              <w:rPr>
                <w:noProof/>
                <w:lang w:eastAsia="pl-PL"/>
              </w:rPr>
            </w:pPr>
          </w:p>
          <w:p w:rsidR="00813B7B" w:rsidRDefault="00023366" w:rsidP="00036172">
            <w:pPr>
              <w:spacing w:after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364693</wp:posOffset>
                  </wp:positionH>
                  <wp:positionV relativeFrom="paragraph">
                    <wp:posOffset>208915</wp:posOffset>
                  </wp:positionV>
                  <wp:extent cx="1175816" cy="1466491"/>
                  <wp:effectExtent l="0" t="0" r="5715" b="635"/>
                  <wp:wrapNone/>
                  <wp:docPr id="5" name="Obraz 5" descr="Bajki które uczą jak być szczęśliwym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jki które uczą jak być szczęśliwym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16" cy="14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4BEF" w:rsidRDefault="00774BEF" w:rsidP="00CC4DA6">
      <w:pPr>
        <w:jc w:val="both"/>
      </w:pPr>
    </w:p>
    <w:sectPr w:rsidR="00774BE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F66"/>
    <w:multiLevelType w:val="hybridMultilevel"/>
    <w:tmpl w:val="BBCC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771"/>
    <w:multiLevelType w:val="hybridMultilevel"/>
    <w:tmpl w:val="EB0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4A5F"/>
    <w:multiLevelType w:val="hybridMultilevel"/>
    <w:tmpl w:val="D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B"/>
    <w:rsid w:val="00007D00"/>
    <w:rsid w:val="00015A21"/>
    <w:rsid w:val="00023366"/>
    <w:rsid w:val="00036172"/>
    <w:rsid w:val="00037D77"/>
    <w:rsid w:val="00042053"/>
    <w:rsid w:val="00044454"/>
    <w:rsid w:val="00051D5F"/>
    <w:rsid w:val="0007226D"/>
    <w:rsid w:val="000765BA"/>
    <w:rsid w:val="0008304E"/>
    <w:rsid w:val="0008382E"/>
    <w:rsid w:val="000848E7"/>
    <w:rsid w:val="000E102C"/>
    <w:rsid w:val="000E7078"/>
    <w:rsid w:val="000F3458"/>
    <w:rsid w:val="0012523F"/>
    <w:rsid w:val="00127AA6"/>
    <w:rsid w:val="00145FE1"/>
    <w:rsid w:val="001525A6"/>
    <w:rsid w:val="00185186"/>
    <w:rsid w:val="001873CA"/>
    <w:rsid w:val="0019364F"/>
    <w:rsid w:val="001A043E"/>
    <w:rsid w:val="001A7CFB"/>
    <w:rsid w:val="001D733F"/>
    <w:rsid w:val="00205E8B"/>
    <w:rsid w:val="00212662"/>
    <w:rsid w:val="00234544"/>
    <w:rsid w:val="002518B8"/>
    <w:rsid w:val="00252E90"/>
    <w:rsid w:val="00260FF5"/>
    <w:rsid w:val="00274D14"/>
    <w:rsid w:val="002821E0"/>
    <w:rsid w:val="00291B01"/>
    <w:rsid w:val="002B2376"/>
    <w:rsid w:val="002D2CEC"/>
    <w:rsid w:val="002E797A"/>
    <w:rsid w:val="00301AC9"/>
    <w:rsid w:val="003271F5"/>
    <w:rsid w:val="00341078"/>
    <w:rsid w:val="00344283"/>
    <w:rsid w:val="00344C56"/>
    <w:rsid w:val="003A7432"/>
    <w:rsid w:val="003A7EE9"/>
    <w:rsid w:val="003B1530"/>
    <w:rsid w:val="003D1151"/>
    <w:rsid w:val="003D1B0D"/>
    <w:rsid w:val="003F3BF9"/>
    <w:rsid w:val="003F76BB"/>
    <w:rsid w:val="00407B35"/>
    <w:rsid w:val="00431473"/>
    <w:rsid w:val="00440B99"/>
    <w:rsid w:val="0045578E"/>
    <w:rsid w:val="00465034"/>
    <w:rsid w:val="004D7255"/>
    <w:rsid w:val="005104AA"/>
    <w:rsid w:val="00511CDB"/>
    <w:rsid w:val="0052018D"/>
    <w:rsid w:val="00533129"/>
    <w:rsid w:val="00544C35"/>
    <w:rsid w:val="005645A9"/>
    <w:rsid w:val="00584CEA"/>
    <w:rsid w:val="005A0A71"/>
    <w:rsid w:val="005B60E5"/>
    <w:rsid w:val="005C65BD"/>
    <w:rsid w:val="005E6A40"/>
    <w:rsid w:val="00602BDA"/>
    <w:rsid w:val="006368F8"/>
    <w:rsid w:val="00655079"/>
    <w:rsid w:val="00677716"/>
    <w:rsid w:val="006D774D"/>
    <w:rsid w:val="006E3D1F"/>
    <w:rsid w:val="007343CC"/>
    <w:rsid w:val="00761507"/>
    <w:rsid w:val="007722B5"/>
    <w:rsid w:val="00774BEF"/>
    <w:rsid w:val="007B118F"/>
    <w:rsid w:val="007C1471"/>
    <w:rsid w:val="007C1DE9"/>
    <w:rsid w:val="007E21D7"/>
    <w:rsid w:val="007E4DA7"/>
    <w:rsid w:val="007F4724"/>
    <w:rsid w:val="008063BE"/>
    <w:rsid w:val="00813B7B"/>
    <w:rsid w:val="00814757"/>
    <w:rsid w:val="00826E1B"/>
    <w:rsid w:val="008428A1"/>
    <w:rsid w:val="00864536"/>
    <w:rsid w:val="00872984"/>
    <w:rsid w:val="008A1D69"/>
    <w:rsid w:val="008A449B"/>
    <w:rsid w:val="008B06F4"/>
    <w:rsid w:val="008B68AD"/>
    <w:rsid w:val="008C37ED"/>
    <w:rsid w:val="008D12A1"/>
    <w:rsid w:val="008E50F7"/>
    <w:rsid w:val="008E59DA"/>
    <w:rsid w:val="008F3DF3"/>
    <w:rsid w:val="009259B6"/>
    <w:rsid w:val="00965751"/>
    <w:rsid w:val="00965D91"/>
    <w:rsid w:val="0098567A"/>
    <w:rsid w:val="009A577B"/>
    <w:rsid w:val="009A7CD0"/>
    <w:rsid w:val="009B670A"/>
    <w:rsid w:val="009C22D3"/>
    <w:rsid w:val="009C4E75"/>
    <w:rsid w:val="009C61F3"/>
    <w:rsid w:val="009D236F"/>
    <w:rsid w:val="009D536C"/>
    <w:rsid w:val="009F2562"/>
    <w:rsid w:val="00A10859"/>
    <w:rsid w:val="00A612DC"/>
    <w:rsid w:val="00AA1ABB"/>
    <w:rsid w:val="00AA33DA"/>
    <w:rsid w:val="00AB49D7"/>
    <w:rsid w:val="00AC4F87"/>
    <w:rsid w:val="00AF21F1"/>
    <w:rsid w:val="00AF270C"/>
    <w:rsid w:val="00AF3B67"/>
    <w:rsid w:val="00B17AD2"/>
    <w:rsid w:val="00B20C68"/>
    <w:rsid w:val="00B27972"/>
    <w:rsid w:val="00B860F0"/>
    <w:rsid w:val="00B9584B"/>
    <w:rsid w:val="00BA05C6"/>
    <w:rsid w:val="00BA3833"/>
    <w:rsid w:val="00BD4BFA"/>
    <w:rsid w:val="00BE1A25"/>
    <w:rsid w:val="00BE63E2"/>
    <w:rsid w:val="00BF72B8"/>
    <w:rsid w:val="00C01F97"/>
    <w:rsid w:val="00C07278"/>
    <w:rsid w:val="00C162D0"/>
    <w:rsid w:val="00C3626B"/>
    <w:rsid w:val="00C7312F"/>
    <w:rsid w:val="00C80AF9"/>
    <w:rsid w:val="00C85DFC"/>
    <w:rsid w:val="00C945AA"/>
    <w:rsid w:val="00C95B04"/>
    <w:rsid w:val="00CA02A7"/>
    <w:rsid w:val="00CA3A9C"/>
    <w:rsid w:val="00CA4C40"/>
    <w:rsid w:val="00CB56C7"/>
    <w:rsid w:val="00CC4DA6"/>
    <w:rsid w:val="00CE4A86"/>
    <w:rsid w:val="00D045B1"/>
    <w:rsid w:val="00D2194B"/>
    <w:rsid w:val="00D347B4"/>
    <w:rsid w:val="00D45078"/>
    <w:rsid w:val="00D57620"/>
    <w:rsid w:val="00D87749"/>
    <w:rsid w:val="00D93222"/>
    <w:rsid w:val="00D93A52"/>
    <w:rsid w:val="00D96452"/>
    <w:rsid w:val="00DA1146"/>
    <w:rsid w:val="00DA61BE"/>
    <w:rsid w:val="00DE578C"/>
    <w:rsid w:val="00DF21D0"/>
    <w:rsid w:val="00DF4547"/>
    <w:rsid w:val="00E06682"/>
    <w:rsid w:val="00E1630E"/>
    <w:rsid w:val="00E41742"/>
    <w:rsid w:val="00E50CA9"/>
    <w:rsid w:val="00E75F08"/>
    <w:rsid w:val="00E8540B"/>
    <w:rsid w:val="00EA078D"/>
    <w:rsid w:val="00EB039D"/>
    <w:rsid w:val="00EB0F91"/>
    <w:rsid w:val="00EF69BF"/>
    <w:rsid w:val="00F0596B"/>
    <w:rsid w:val="00F11DD8"/>
    <w:rsid w:val="00F15FBD"/>
    <w:rsid w:val="00F477F1"/>
    <w:rsid w:val="00F9433D"/>
    <w:rsid w:val="00FC5684"/>
    <w:rsid w:val="00FE0ADA"/>
    <w:rsid w:val="00FE0B2D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48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4CE7-5EA9-4E77-B78B-E67B2BAF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dc:description/>
  <cp:lastModifiedBy>Elżbieta Krupa</cp:lastModifiedBy>
  <cp:revision>371</cp:revision>
  <cp:lastPrinted>2017-04-10T10:35:00Z</cp:lastPrinted>
  <dcterms:created xsi:type="dcterms:W3CDTF">2015-12-15T12:52:00Z</dcterms:created>
  <dcterms:modified xsi:type="dcterms:W3CDTF">2018-01-08T09:28:00Z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Pedagogiczna Biblioteka Wojewódzka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