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46" w:rsidRDefault="00971846" w:rsidP="009718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DF4">
        <w:rPr>
          <w:rFonts w:ascii="Times New Roman" w:hAnsi="Times New Roman" w:cs="Times New Roman"/>
          <w:b/>
          <w:sz w:val="32"/>
          <w:szCs w:val="32"/>
        </w:rPr>
        <w:t>PRZEGLĄD PRASY PEDAGOGICZNEJ DLA NAUCZYCIELI</w:t>
      </w:r>
    </w:p>
    <w:p w:rsidR="00971846" w:rsidRDefault="00971846" w:rsidP="00971846">
      <w:pPr>
        <w:rPr>
          <w:rFonts w:ascii="Times New Roman" w:hAnsi="Times New Roman" w:cs="Times New Roman"/>
          <w:b/>
          <w:sz w:val="32"/>
          <w:szCs w:val="32"/>
        </w:rPr>
      </w:pPr>
    </w:p>
    <w:p w:rsidR="00971846" w:rsidRDefault="00971846" w:rsidP="00971846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MAJ </w:t>
      </w:r>
      <w:r w:rsidRPr="00A42DF4">
        <w:rPr>
          <w:rFonts w:ascii="Times New Roman" w:hAnsi="Times New Roman" w:cs="Times New Roman"/>
          <w:b/>
          <w:color w:val="0070C0"/>
          <w:sz w:val="32"/>
          <w:szCs w:val="32"/>
        </w:rPr>
        <w:t>2015</w:t>
      </w:r>
    </w:p>
    <w:p w:rsidR="00701A7A" w:rsidRDefault="00701A7A" w:rsidP="00971846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E6307F" w:rsidRDefault="00E6307F" w:rsidP="00E630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słuchaniu słuchającego : </w:t>
      </w:r>
      <w:proofErr w:type="spellStart"/>
      <w:r>
        <w:rPr>
          <w:rFonts w:ascii="Times New Roman" w:hAnsi="Times New Roman" w:cs="Times New Roman"/>
          <w:sz w:val="28"/>
          <w:szCs w:val="28"/>
        </w:rPr>
        <w:t>storytelling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edukacji / Mateusz </w:t>
      </w:r>
      <w:proofErr w:type="spellStart"/>
      <w:r>
        <w:rPr>
          <w:rFonts w:ascii="Times New Roman" w:hAnsi="Times New Roman" w:cs="Times New Roman"/>
          <w:sz w:val="28"/>
          <w:szCs w:val="28"/>
        </w:rPr>
        <w:t>Światak</w:t>
      </w:r>
      <w:proofErr w:type="spellEnd"/>
      <w:r>
        <w:rPr>
          <w:rFonts w:ascii="Times New Roman" w:hAnsi="Times New Roman" w:cs="Times New Roman"/>
          <w:sz w:val="28"/>
          <w:szCs w:val="28"/>
        </w:rPr>
        <w:t>. // Życie Szkoły. – 2015, nr 5, s. 29-32</w:t>
      </w:r>
    </w:p>
    <w:p w:rsidR="00E6307F" w:rsidRDefault="00E6307F" w:rsidP="00E6307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E6307F" w:rsidRDefault="00E6307F" w:rsidP="00E6307F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„ Opowiadanie historii jest przede wszystkim formą komunikacji. Komunikacja wymaga zaś aktywnego zaangażowania obu stron. Narrator nie tylko opowiada – musi tez słuchać. A słuchacz mówi, nawet jeśli sam o tym nie wie. Od tego, czy narrator umiejętnie odczyta komunikaty wysłane mu przez słuchacza, będzie zależeć jakość relacji, jaka między nimi powstanie. A wraz z nią – jakość opowieści i jej przesłanie”. </w:t>
      </w:r>
    </w:p>
    <w:p w:rsidR="006B46FA" w:rsidRDefault="006B46FA" w:rsidP="00E6307F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</w:p>
    <w:p w:rsidR="006B46FA" w:rsidRDefault="006B46FA" w:rsidP="006B46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Zebranie z rodzicami nie musi być nudne! / Anna Szymańska, Monika Binda-Matuszczak. // Wychowanie w Przedszkolu. – 2015, nr 5, s. 41-44</w:t>
      </w:r>
    </w:p>
    <w:p w:rsidR="006B46FA" w:rsidRDefault="006B46FA" w:rsidP="006B46F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B46FA" w:rsidRDefault="006B46FA" w:rsidP="006B46FA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„Prowadzenie zebrań z rodzicami często bywa dla nauczycieli pewnym wyzwaniem. Z jednej strony konieczne jest przekazanie sporej liczby ogłoszeń organizacyjnych, z drugiej różne decyzje; wskazane jest także prowadzenie tzw. pedagogizacji rodziców. Nie zawsze musi to być wykład lub pogadanka (choć te formy są najprostsze i najwygodniejsze dla nauczycieli do realizacji)”. Artykuł zawiera scenariusz warsztatów dla rodziców dzieci starszych. </w:t>
      </w:r>
    </w:p>
    <w:p w:rsidR="00A62117" w:rsidRDefault="00A62117" w:rsidP="006B46FA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</w:p>
    <w:p w:rsidR="00A62117" w:rsidRDefault="00A62117" w:rsidP="00A621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Uczymy się łączyć elementy : synek tyka jako forma rozwijania twórczości dzieci / Izabela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Trancygier</w:t>
      </w:r>
      <w:proofErr w:type="spellEnd"/>
      <w:r>
        <w:rPr>
          <w:rFonts w:ascii="Times New Roman" w:hAnsi="Times New Roman" w:cs="Times New Roman"/>
          <w:sz w:val="28"/>
          <w:szCs w:val="28"/>
        </w:rPr>
        <w:t>. // Wychowanie w Przedszkolu. – 2015, nr 5, s. 58-62</w:t>
      </w:r>
    </w:p>
    <w:p w:rsidR="00A62117" w:rsidRDefault="00A62117" w:rsidP="00A6211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62117" w:rsidRDefault="00A62117" w:rsidP="00A62117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„ Jedna z wielu metod stosowania w przedszkolu jest synek tyka. Służy ona stymulowaniu twórczego myślenia i rozwiązywania problemów poprzez myślowe łączenie ze sobą różnych elementów. Metoda synek tyczna, rozpowszechniona przez prof. Wiesławę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Limont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ma skłaniać przede wszystkim do działania w grupie oraz do odwagi odrzucenia utartych reguł i pozornie niepowtarzalnych prawd. Celem synek tyki jest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wdrażanie dzieci do myślenia metaforycznego”. Artykuł zawiera konspekty zajęć w przedszkolu z wykorzystaniem metody synek tycznej. </w:t>
      </w:r>
    </w:p>
    <w:p w:rsidR="00701A7A" w:rsidRDefault="00701A7A" w:rsidP="00A62117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</w:p>
    <w:p w:rsidR="00701A7A" w:rsidRDefault="00701A7A" w:rsidP="00701A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Skuteczne powtarzanie do skutku / Przemysław Bąbel. // Psychologia w Szkole. – 2015, nr 3, s. 35-41</w:t>
      </w:r>
    </w:p>
    <w:p w:rsidR="00701A7A" w:rsidRDefault="00701A7A" w:rsidP="00701A7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01A7A" w:rsidRDefault="00701A7A" w:rsidP="00701A7A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„ Nawet w tak krótkim czasie jak jedna lekcja można i trzeba powtarzać, wielokrotnie powracać do prezentowanych informacji. Warto wykorzystać w tym celu amerykańską zasadę: &lt;Najpierw powiedz, o czym będziesz mówić, potem to powiedz, a na koniec powiedz, o czym powiedziałeś&gt;”.</w:t>
      </w:r>
    </w:p>
    <w:p w:rsidR="009B741F" w:rsidRDefault="009B741F" w:rsidP="00701A7A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</w:p>
    <w:p w:rsidR="009B741F" w:rsidRDefault="009B741F" w:rsidP="009B74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Wychowanie seksualne w ujęciu holistycznym / Marta Komorowska-Pudło. // Wychowawca. – 2015, nr 5, s. 8-14</w:t>
      </w:r>
    </w:p>
    <w:p w:rsidR="009B741F" w:rsidRDefault="009B741F" w:rsidP="009B741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B741F" w:rsidRDefault="009B741F" w:rsidP="009B741F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„ Holistyczne ujęcie procesu wychowania seksualnego umożliwia wspieranie młodych ludzi w nabywaniu przez nich dojrzałości psychoseksualnej, a w szczególności kształtowanie poczucia odpowiedzialności oraz umiejętności podejmowania właściwych decyzji, wzmacnianie poczucia własnej wartości, wskazywanie norm moralnych, ze szczególnym podkreśleniem zachowania własnej godności, szacunku wobec innych osób i zasad przez nich wyznawanych”.</w:t>
      </w:r>
    </w:p>
    <w:p w:rsidR="00353A14" w:rsidRDefault="00353A14" w:rsidP="009B741F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</w:p>
    <w:p w:rsidR="00353A14" w:rsidRDefault="00353A14" w:rsidP="00353A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Możliwość zastosowania choreoterapii : teoria i praktyka / Monika Szczygieł. // Problemy Opiekuńczo- Wychowawcze. – 2015, nr 5, s. 30-37</w:t>
      </w:r>
    </w:p>
    <w:p w:rsidR="00353A14" w:rsidRDefault="00353A14" w:rsidP="00353A1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12707" w:rsidRDefault="00353A14" w:rsidP="00353A14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„Celem choreoterapii jest zarówno korekta zaburzeń psychomotorycznych, jak i poprawa relacji społecznych. Choreoterapia pozwala uzewnętrznić napięcie, urazy, problemy emocjonalne i stres</w:t>
      </w:r>
      <w:r w:rsidR="00FD38AE">
        <w:rPr>
          <w:rFonts w:ascii="Times New Roman" w:hAnsi="Times New Roman" w:cs="Times New Roman"/>
          <w:i/>
          <w:sz w:val="28"/>
          <w:szCs w:val="28"/>
        </w:rPr>
        <w:t>. Jej celem jest także zrozumienie przez uczestników źródeł swoich trudności oraz zwiększenie zdolności zaspokajania własnych potrzeb, umiejętności pozytywnego realizowania posiadanego potencjału, podnoszenie samooceny”.</w:t>
      </w:r>
    </w:p>
    <w:p w:rsidR="00612707" w:rsidRDefault="00612707" w:rsidP="00353A14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</w:p>
    <w:p w:rsidR="00612707" w:rsidRPr="00612707" w:rsidRDefault="00612707" w:rsidP="006127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Filmowanie inspiruje i aktywizuje / Julian Piotr Sawiński. // Nowa Szkoła. – 2015, nr 5, s. 32-37</w:t>
      </w:r>
    </w:p>
    <w:p w:rsidR="00612707" w:rsidRDefault="00612707" w:rsidP="00612707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</w:p>
    <w:p w:rsidR="00353A14" w:rsidRDefault="00612707" w:rsidP="00612707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„ Filmowanie, tj. tworzenie filmów, które motywuje, inspiruje i aktywizuje. Angażuje umysł, zmysły, ręce i emocje. Stymuluje do tworzenia i wyzwala inicjatywę, uczy obserwacji, krytycznego myślenia i współdziałania, a także dokładności, pomysłowości i kreatywności. Warto tworzyć własne filmy, aby pokazać je innym i dowartościować siebie. Szkoła powinna lepiej wykorzystać kreatywne możliwości filmowania”.</w:t>
      </w:r>
    </w:p>
    <w:p w:rsidR="00CE3814" w:rsidRDefault="00CE3814" w:rsidP="00612707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</w:p>
    <w:p w:rsidR="00CE3814" w:rsidRDefault="00CE3814" w:rsidP="00CE38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Formalne warunki wypowiedzenia  / Marianna </w:t>
      </w:r>
      <w:proofErr w:type="spellStart"/>
      <w:r>
        <w:rPr>
          <w:rFonts w:ascii="Times New Roman" w:hAnsi="Times New Roman" w:cs="Times New Roman"/>
          <w:sz w:val="28"/>
          <w:szCs w:val="28"/>
        </w:rPr>
        <w:t>Grelewicz</w:t>
      </w:r>
      <w:proofErr w:type="spellEnd"/>
      <w:r>
        <w:rPr>
          <w:rFonts w:ascii="Times New Roman" w:hAnsi="Times New Roman" w:cs="Times New Roman"/>
          <w:sz w:val="28"/>
          <w:szCs w:val="28"/>
        </w:rPr>
        <w:t>. // Dyrektor Szkoły. – 2015, nr 5, s. 32-35</w:t>
      </w:r>
    </w:p>
    <w:p w:rsidR="00CE3814" w:rsidRDefault="00CE3814" w:rsidP="00CE381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E3814" w:rsidRDefault="00CE3814" w:rsidP="00CE3814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„ Błędy lub zaniechania przy rozwiązaniu stosunku pracy mogą sprawić, że sąd uzna wypowiedzenie za bezskuteczne. Na co zwrócić uwagę. Autorka artykułu próbuje krok po kroku przeanalizow</w:t>
      </w:r>
      <w:r w:rsidR="00F31580">
        <w:rPr>
          <w:rFonts w:ascii="Times New Roman" w:hAnsi="Times New Roman" w:cs="Times New Roman"/>
          <w:i/>
          <w:sz w:val="28"/>
          <w:szCs w:val="28"/>
        </w:rPr>
        <w:t>a</w:t>
      </w:r>
      <w:r>
        <w:rPr>
          <w:rFonts w:ascii="Times New Roman" w:hAnsi="Times New Roman" w:cs="Times New Roman"/>
          <w:i/>
          <w:sz w:val="28"/>
          <w:szCs w:val="28"/>
        </w:rPr>
        <w:t>ć cały proces od strony formalnej”.</w:t>
      </w:r>
    </w:p>
    <w:p w:rsidR="00F31580" w:rsidRDefault="00F31580" w:rsidP="00CE3814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</w:p>
    <w:p w:rsidR="00F31580" w:rsidRDefault="00F31580" w:rsidP="00F315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Percepcja słuchowa i trening pamięci / Beata Bielska. // Bliżej Przedszkola. – 2015, nr 5, s. 66-69</w:t>
      </w:r>
    </w:p>
    <w:p w:rsidR="00F31580" w:rsidRDefault="00F31580" w:rsidP="00F3158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F31580" w:rsidRPr="00F31580" w:rsidRDefault="00F31580" w:rsidP="00F31580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„Aby dziecko nauczyło się prawidłowo pisać i czytać, niezbędne jest wykształcenie u niego wrażliwości słuchowej. Proponowane zabawy i ćwiczenia uczą zdolności rozróżniania delikatnych i subtelnych wrażeń otaczającym środowisku. W ten sposób przedszkolak poszerza swoje pole percepcji, a jego słuchanie staje się bardziej ukierunkowane”. </w:t>
      </w:r>
    </w:p>
    <w:p w:rsidR="00CE3814" w:rsidRDefault="00CE3814" w:rsidP="00CE3814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3814" w:rsidRPr="00CE3814" w:rsidRDefault="00CE3814" w:rsidP="00CE3814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3A0476" w:rsidRDefault="003A0476"/>
    <w:p w:rsidR="00971846" w:rsidRDefault="00971846" w:rsidP="000167AE">
      <w:pPr>
        <w:ind w:left="424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materiałów prasowych przygotowała Izabela Pelc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</w:p>
    <w:p w:rsidR="00971846" w:rsidRDefault="00971846"/>
    <w:p w:rsidR="00971846" w:rsidRDefault="00971846"/>
    <w:sectPr w:rsidR="00971846" w:rsidSect="003A0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37A8"/>
    <w:multiLevelType w:val="hybridMultilevel"/>
    <w:tmpl w:val="DD92E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1846"/>
    <w:rsid w:val="000167AE"/>
    <w:rsid w:val="0007788B"/>
    <w:rsid w:val="00353A14"/>
    <w:rsid w:val="003A0476"/>
    <w:rsid w:val="004A5A37"/>
    <w:rsid w:val="00612707"/>
    <w:rsid w:val="006B46FA"/>
    <w:rsid w:val="00701A7A"/>
    <w:rsid w:val="00971846"/>
    <w:rsid w:val="009B741F"/>
    <w:rsid w:val="00A62117"/>
    <w:rsid w:val="00A958EB"/>
    <w:rsid w:val="00CE3814"/>
    <w:rsid w:val="00E6307F"/>
    <w:rsid w:val="00F31580"/>
    <w:rsid w:val="00FD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tpracownik</dc:creator>
  <cp:keywords/>
  <dc:description/>
  <cp:lastModifiedBy>tpracownik</cp:lastModifiedBy>
  <cp:revision>14</cp:revision>
  <dcterms:created xsi:type="dcterms:W3CDTF">2015-06-05T09:11:00Z</dcterms:created>
  <dcterms:modified xsi:type="dcterms:W3CDTF">2015-06-08T08:37:00Z</dcterms:modified>
</cp:coreProperties>
</file>