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85" w:rsidRDefault="005C3C85" w:rsidP="005C3C85">
      <w:pPr>
        <w:jc w:val="center"/>
        <w:rPr>
          <w:rFonts w:ascii="Times New Roman" w:hAnsi="Times New Roman" w:cs="Times New Roman"/>
          <w:b/>
          <w:sz w:val="32"/>
          <w:szCs w:val="32"/>
        </w:rPr>
      </w:pPr>
      <w:r>
        <w:rPr>
          <w:rFonts w:ascii="Times New Roman" w:hAnsi="Times New Roman" w:cs="Times New Roman"/>
          <w:b/>
          <w:sz w:val="32"/>
          <w:szCs w:val="32"/>
        </w:rPr>
        <w:t>PRZEGLĄD PRASY PEDAGOGICZNEJ DLA NAUCZYCIELI</w:t>
      </w:r>
    </w:p>
    <w:p w:rsidR="005C3C85" w:rsidRDefault="005C3C85" w:rsidP="005C3C85">
      <w:pPr>
        <w:rPr>
          <w:rFonts w:ascii="Times New Roman" w:hAnsi="Times New Roman" w:cs="Times New Roman"/>
          <w:b/>
          <w:sz w:val="32"/>
          <w:szCs w:val="32"/>
        </w:rPr>
      </w:pPr>
    </w:p>
    <w:p w:rsidR="008638B4" w:rsidRDefault="005C3C85" w:rsidP="008638B4">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PAŹDZIERNIK – LISTOPAD 2015</w:t>
      </w:r>
    </w:p>
    <w:p w:rsidR="008638B4" w:rsidRDefault="008638B4" w:rsidP="008638B4">
      <w:pPr>
        <w:jc w:val="center"/>
        <w:rPr>
          <w:rFonts w:ascii="Times New Roman" w:hAnsi="Times New Roman" w:cs="Times New Roman"/>
          <w:b/>
          <w:color w:val="FF0000"/>
          <w:sz w:val="32"/>
          <w:szCs w:val="32"/>
        </w:rPr>
      </w:pPr>
    </w:p>
    <w:p w:rsidR="008638B4" w:rsidRDefault="008638B4" w:rsidP="008638B4">
      <w:pPr>
        <w:pStyle w:val="Akapitzlist"/>
        <w:numPr>
          <w:ilvl w:val="0"/>
          <w:numId w:val="3"/>
        </w:numPr>
        <w:ind w:left="567"/>
        <w:rPr>
          <w:rFonts w:ascii="Times New Roman" w:hAnsi="Times New Roman" w:cs="Times New Roman"/>
          <w:sz w:val="28"/>
          <w:szCs w:val="28"/>
        </w:rPr>
      </w:pPr>
      <w:r>
        <w:rPr>
          <w:rFonts w:ascii="Times New Roman" w:hAnsi="Times New Roman" w:cs="Times New Roman"/>
          <w:sz w:val="28"/>
          <w:szCs w:val="28"/>
        </w:rPr>
        <w:t>Zalety wycieczki przedmiotowej / Katarzyna Szczepkowska. // Dyrektor Szkoły. – 2015, nr 10, s. 58-60</w:t>
      </w:r>
    </w:p>
    <w:p w:rsidR="008638B4" w:rsidRDefault="008638B4" w:rsidP="008638B4">
      <w:pPr>
        <w:pStyle w:val="Akapitzlist"/>
        <w:ind w:left="567"/>
        <w:rPr>
          <w:rFonts w:ascii="Times New Roman" w:hAnsi="Times New Roman" w:cs="Times New Roman"/>
          <w:sz w:val="28"/>
          <w:szCs w:val="28"/>
        </w:rPr>
      </w:pPr>
    </w:p>
    <w:p w:rsidR="008638B4" w:rsidRDefault="008638B4" w:rsidP="008638B4">
      <w:pPr>
        <w:pStyle w:val="Akapitzlist"/>
        <w:ind w:left="567"/>
        <w:rPr>
          <w:rFonts w:ascii="Times New Roman" w:hAnsi="Times New Roman" w:cs="Times New Roman"/>
          <w:i/>
          <w:sz w:val="28"/>
          <w:szCs w:val="28"/>
        </w:rPr>
      </w:pPr>
      <w:r>
        <w:rPr>
          <w:rFonts w:ascii="Times New Roman" w:hAnsi="Times New Roman" w:cs="Times New Roman"/>
          <w:i/>
          <w:sz w:val="28"/>
          <w:szCs w:val="28"/>
        </w:rPr>
        <w:t>„Przedstawiając zalecenia podstawy programowej oraz zasady organizacji wycieczek w taki sposób, aby stały się elementem realizacji programu, autorka przekonuje czytelników, że wyjście z uczniami poza klasę nie musi być stratą czasu”.</w:t>
      </w:r>
    </w:p>
    <w:p w:rsidR="00A12DAA" w:rsidRDefault="00A12DAA" w:rsidP="008638B4">
      <w:pPr>
        <w:pStyle w:val="Akapitzlist"/>
        <w:ind w:left="567"/>
        <w:rPr>
          <w:rFonts w:ascii="Times New Roman" w:hAnsi="Times New Roman" w:cs="Times New Roman"/>
          <w:i/>
          <w:sz w:val="28"/>
          <w:szCs w:val="28"/>
        </w:rPr>
      </w:pPr>
    </w:p>
    <w:p w:rsidR="00A12DAA" w:rsidRDefault="00A12DAA" w:rsidP="00A12DAA">
      <w:pPr>
        <w:pStyle w:val="Akapitzlist"/>
        <w:numPr>
          <w:ilvl w:val="0"/>
          <w:numId w:val="3"/>
        </w:numPr>
        <w:ind w:left="426"/>
        <w:rPr>
          <w:rFonts w:ascii="Times New Roman" w:hAnsi="Times New Roman" w:cs="Times New Roman"/>
          <w:sz w:val="28"/>
          <w:szCs w:val="28"/>
        </w:rPr>
      </w:pPr>
      <w:r>
        <w:rPr>
          <w:rFonts w:ascii="Times New Roman" w:hAnsi="Times New Roman" w:cs="Times New Roman"/>
          <w:sz w:val="28"/>
          <w:szCs w:val="28"/>
        </w:rPr>
        <w:t xml:space="preserve">Przewodnik nauczyciela przedszkola – materiały </w:t>
      </w:r>
      <w:r w:rsidR="006A50C2">
        <w:rPr>
          <w:rFonts w:ascii="Times New Roman" w:hAnsi="Times New Roman" w:cs="Times New Roman"/>
          <w:sz w:val="28"/>
          <w:szCs w:val="28"/>
        </w:rPr>
        <w:t>na listopad // Bliżej Pr</w:t>
      </w:r>
      <w:r>
        <w:rPr>
          <w:rFonts w:ascii="Times New Roman" w:hAnsi="Times New Roman" w:cs="Times New Roman"/>
          <w:sz w:val="28"/>
          <w:szCs w:val="28"/>
        </w:rPr>
        <w:t xml:space="preserve">zedszkola. – 2915, nr 10, s. </w:t>
      </w:r>
      <w:r w:rsidR="006A50C2">
        <w:rPr>
          <w:rFonts w:ascii="Times New Roman" w:hAnsi="Times New Roman" w:cs="Times New Roman"/>
          <w:sz w:val="28"/>
          <w:szCs w:val="28"/>
        </w:rPr>
        <w:t>30-70</w:t>
      </w:r>
    </w:p>
    <w:p w:rsidR="006A50C2" w:rsidRDefault="006A50C2" w:rsidP="006A50C2">
      <w:pPr>
        <w:pStyle w:val="Akapitzlist"/>
        <w:ind w:left="426"/>
        <w:rPr>
          <w:rFonts w:ascii="Times New Roman" w:hAnsi="Times New Roman" w:cs="Times New Roman"/>
          <w:sz w:val="28"/>
          <w:szCs w:val="28"/>
        </w:rPr>
      </w:pPr>
    </w:p>
    <w:p w:rsidR="006A50C2" w:rsidRDefault="006A50C2" w:rsidP="006A50C2">
      <w:pPr>
        <w:pStyle w:val="Akapitzlist"/>
        <w:ind w:left="426"/>
        <w:rPr>
          <w:rFonts w:ascii="Times New Roman" w:hAnsi="Times New Roman" w:cs="Times New Roman"/>
          <w:i/>
          <w:sz w:val="28"/>
          <w:szCs w:val="28"/>
        </w:rPr>
      </w:pPr>
      <w:r>
        <w:rPr>
          <w:rFonts w:ascii="Times New Roman" w:hAnsi="Times New Roman" w:cs="Times New Roman"/>
          <w:i/>
          <w:sz w:val="28"/>
          <w:szCs w:val="28"/>
        </w:rPr>
        <w:t>„Propozycje aktywności pomocne w trakcie planowania pracy wychowawczo-dydaktycznej dla dzieci młodszych  i starszych na listopad”.</w:t>
      </w:r>
    </w:p>
    <w:p w:rsidR="006A50C2" w:rsidRDefault="006A50C2" w:rsidP="006A50C2">
      <w:pPr>
        <w:pStyle w:val="Akapitzlist"/>
        <w:ind w:left="426"/>
        <w:rPr>
          <w:rFonts w:ascii="Times New Roman" w:hAnsi="Times New Roman" w:cs="Times New Roman"/>
          <w:i/>
          <w:sz w:val="28"/>
          <w:szCs w:val="28"/>
        </w:rPr>
      </w:pPr>
    </w:p>
    <w:p w:rsidR="006A50C2" w:rsidRDefault="006A50C2" w:rsidP="006A50C2">
      <w:pPr>
        <w:pStyle w:val="Akapitzlist"/>
        <w:numPr>
          <w:ilvl w:val="0"/>
          <w:numId w:val="3"/>
        </w:numPr>
        <w:ind w:left="426"/>
        <w:rPr>
          <w:rFonts w:ascii="Times New Roman" w:hAnsi="Times New Roman" w:cs="Times New Roman"/>
          <w:sz w:val="28"/>
          <w:szCs w:val="28"/>
        </w:rPr>
      </w:pPr>
      <w:r>
        <w:rPr>
          <w:rFonts w:ascii="Times New Roman" w:hAnsi="Times New Roman" w:cs="Times New Roman"/>
          <w:sz w:val="28"/>
          <w:szCs w:val="28"/>
        </w:rPr>
        <w:t>Ocenić pisanie czy podpisać się pod wystawioną oceną? Wokół trudności z ocenianiem prac pisemnych / Natalia Kuźmińska. // Polonistyka. – 2015, nr 6, s. 26-31</w:t>
      </w:r>
    </w:p>
    <w:p w:rsidR="006A50C2" w:rsidRDefault="006A50C2" w:rsidP="006A50C2">
      <w:pPr>
        <w:pStyle w:val="Akapitzlist"/>
        <w:ind w:left="426"/>
        <w:rPr>
          <w:rFonts w:ascii="Times New Roman" w:hAnsi="Times New Roman" w:cs="Times New Roman"/>
          <w:sz w:val="28"/>
          <w:szCs w:val="28"/>
        </w:rPr>
      </w:pPr>
    </w:p>
    <w:p w:rsidR="006A50C2" w:rsidRDefault="006A50C2" w:rsidP="006A50C2">
      <w:pPr>
        <w:pStyle w:val="Akapitzlist"/>
        <w:ind w:left="426"/>
        <w:rPr>
          <w:rFonts w:ascii="Times New Roman" w:hAnsi="Times New Roman" w:cs="Times New Roman"/>
          <w:i/>
          <w:sz w:val="28"/>
          <w:szCs w:val="28"/>
        </w:rPr>
      </w:pPr>
      <w:r>
        <w:rPr>
          <w:rFonts w:ascii="Times New Roman" w:hAnsi="Times New Roman" w:cs="Times New Roman"/>
          <w:i/>
          <w:sz w:val="28"/>
          <w:szCs w:val="28"/>
        </w:rPr>
        <w:t>„ Zgodnie z zapisami „Podstawy programowej języka polskiego”</w:t>
      </w:r>
      <w:r w:rsidR="0069069B">
        <w:rPr>
          <w:rFonts w:ascii="Times New Roman" w:hAnsi="Times New Roman" w:cs="Times New Roman"/>
          <w:i/>
          <w:sz w:val="28"/>
          <w:szCs w:val="28"/>
        </w:rPr>
        <w:t xml:space="preserve"> </w:t>
      </w:r>
      <w:r>
        <w:rPr>
          <w:rFonts w:ascii="Times New Roman" w:hAnsi="Times New Roman" w:cs="Times New Roman"/>
          <w:i/>
          <w:sz w:val="28"/>
          <w:szCs w:val="28"/>
        </w:rPr>
        <w:t xml:space="preserve">jednym z celów kształcenia na każdym etapie </w:t>
      </w:r>
      <w:r w:rsidR="0069069B">
        <w:rPr>
          <w:rFonts w:ascii="Times New Roman" w:hAnsi="Times New Roman" w:cs="Times New Roman"/>
          <w:i/>
          <w:sz w:val="28"/>
          <w:szCs w:val="28"/>
        </w:rPr>
        <w:t>edukacyjnym jest wyposażenie uczniów w umiejętność tworzenia wypowiedzi, tak by posługiwał się polszczyzną poprawnie, a więc świadomie i odpowiednio do sytuacji, zarówno w jej odmianie mówionej, jak i pisanej.(…) Dlatego pisanie należy konsekwentnie w szkole ćwiczyć”.</w:t>
      </w:r>
    </w:p>
    <w:p w:rsidR="0069069B" w:rsidRDefault="0069069B" w:rsidP="006A50C2">
      <w:pPr>
        <w:pStyle w:val="Akapitzlist"/>
        <w:ind w:left="426"/>
        <w:rPr>
          <w:rFonts w:ascii="Times New Roman" w:hAnsi="Times New Roman" w:cs="Times New Roman"/>
          <w:i/>
          <w:sz w:val="28"/>
          <w:szCs w:val="28"/>
        </w:rPr>
      </w:pPr>
    </w:p>
    <w:p w:rsidR="0069069B" w:rsidRDefault="0069069B" w:rsidP="0069069B">
      <w:pPr>
        <w:pStyle w:val="Akapitzlist"/>
        <w:numPr>
          <w:ilvl w:val="0"/>
          <w:numId w:val="3"/>
        </w:numPr>
        <w:ind w:left="284"/>
        <w:rPr>
          <w:rFonts w:ascii="Times New Roman" w:hAnsi="Times New Roman" w:cs="Times New Roman"/>
          <w:sz w:val="28"/>
          <w:szCs w:val="28"/>
        </w:rPr>
      </w:pPr>
      <w:r>
        <w:rPr>
          <w:rFonts w:ascii="Times New Roman" w:hAnsi="Times New Roman" w:cs="Times New Roman"/>
          <w:sz w:val="28"/>
          <w:szCs w:val="28"/>
        </w:rPr>
        <w:t>Bajki jako forma wsparcia dziecka w żałobie / Edyta Sielicka. // Problemy Opiekuńczo-Wychowawcze. – 2015, nr 8, s. 18-23</w:t>
      </w:r>
    </w:p>
    <w:p w:rsidR="0069069B" w:rsidRDefault="0069069B" w:rsidP="0069069B">
      <w:pPr>
        <w:pStyle w:val="Akapitzlist"/>
        <w:ind w:left="284"/>
        <w:rPr>
          <w:rFonts w:ascii="Times New Roman" w:hAnsi="Times New Roman" w:cs="Times New Roman"/>
          <w:sz w:val="28"/>
          <w:szCs w:val="28"/>
        </w:rPr>
      </w:pPr>
    </w:p>
    <w:p w:rsidR="0069069B" w:rsidRDefault="0069069B" w:rsidP="0069069B">
      <w:pPr>
        <w:pStyle w:val="Akapitzlist"/>
        <w:ind w:left="284"/>
        <w:rPr>
          <w:rFonts w:ascii="Times New Roman" w:hAnsi="Times New Roman" w:cs="Times New Roman"/>
          <w:i/>
          <w:sz w:val="28"/>
          <w:szCs w:val="28"/>
        </w:rPr>
      </w:pPr>
      <w:r>
        <w:rPr>
          <w:rFonts w:ascii="Times New Roman" w:hAnsi="Times New Roman" w:cs="Times New Roman"/>
          <w:i/>
          <w:sz w:val="28"/>
          <w:szCs w:val="28"/>
        </w:rPr>
        <w:t>„Kształtowanie się dziecięcego pojmowania śmierci należy rozpatrywać</w:t>
      </w:r>
      <w:r w:rsidR="00123D3E">
        <w:rPr>
          <w:rFonts w:ascii="Times New Roman" w:hAnsi="Times New Roman" w:cs="Times New Roman"/>
          <w:i/>
          <w:sz w:val="28"/>
          <w:szCs w:val="28"/>
        </w:rPr>
        <w:t xml:space="preserve"> w odniesieniu do etapu rozwoju, ale też należy zwrócić uwagę, że kształtuje się ono zależnie od warunków kulturowych i społecznych”.</w:t>
      </w:r>
    </w:p>
    <w:p w:rsidR="00AC23FD" w:rsidRDefault="00AC23FD" w:rsidP="0069069B">
      <w:pPr>
        <w:pStyle w:val="Akapitzlist"/>
        <w:ind w:left="284"/>
        <w:rPr>
          <w:rFonts w:ascii="Times New Roman" w:hAnsi="Times New Roman" w:cs="Times New Roman"/>
          <w:i/>
          <w:sz w:val="28"/>
          <w:szCs w:val="28"/>
        </w:rPr>
      </w:pPr>
    </w:p>
    <w:p w:rsidR="00AC23FD" w:rsidRDefault="00BE42BC" w:rsidP="00AC23FD">
      <w:pPr>
        <w:pStyle w:val="Akapitzlist"/>
        <w:numPr>
          <w:ilvl w:val="0"/>
          <w:numId w:val="3"/>
        </w:numPr>
        <w:ind w:left="142"/>
        <w:rPr>
          <w:rFonts w:ascii="Times New Roman" w:hAnsi="Times New Roman" w:cs="Times New Roman"/>
          <w:sz w:val="28"/>
          <w:szCs w:val="28"/>
        </w:rPr>
      </w:pPr>
      <w:proofErr w:type="spellStart"/>
      <w:r>
        <w:rPr>
          <w:rFonts w:ascii="Times New Roman" w:hAnsi="Times New Roman" w:cs="Times New Roman"/>
          <w:sz w:val="28"/>
          <w:szCs w:val="28"/>
        </w:rPr>
        <w:t>Tutoring</w:t>
      </w:r>
      <w:proofErr w:type="spellEnd"/>
      <w:r>
        <w:rPr>
          <w:rFonts w:ascii="Times New Roman" w:hAnsi="Times New Roman" w:cs="Times New Roman"/>
          <w:sz w:val="28"/>
          <w:szCs w:val="28"/>
        </w:rPr>
        <w:t xml:space="preserve"> rówieśniczy / Aneta Baranowska. // Wychowawca. – 2015, nr 10, s. 31-32</w:t>
      </w:r>
    </w:p>
    <w:p w:rsidR="00BE42BC" w:rsidRDefault="00BE42BC" w:rsidP="00BE42BC">
      <w:pPr>
        <w:pStyle w:val="Akapitzlist"/>
        <w:ind w:left="142"/>
        <w:rPr>
          <w:rFonts w:ascii="Times New Roman" w:hAnsi="Times New Roman" w:cs="Times New Roman"/>
          <w:sz w:val="28"/>
          <w:szCs w:val="28"/>
        </w:rPr>
      </w:pPr>
    </w:p>
    <w:p w:rsidR="00BE42BC" w:rsidRDefault="00BE42BC" w:rsidP="00BE42BC">
      <w:pPr>
        <w:pStyle w:val="Akapitzlist"/>
        <w:ind w:left="142"/>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Tutoring</w:t>
      </w:r>
      <w:proofErr w:type="spellEnd"/>
      <w:r>
        <w:rPr>
          <w:rFonts w:ascii="Times New Roman" w:hAnsi="Times New Roman" w:cs="Times New Roman"/>
          <w:i/>
          <w:sz w:val="28"/>
          <w:szCs w:val="28"/>
        </w:rPr>
        <w:t xml:space="preserve"> rówieśniczy może pomóc nauczycielowi w wywiązaniu się z niemożliwego do wykonania zadania: przedstawienia wiedzy w sposób interesujący dla grupy składającej się zarówno ze zdolnych, jak i przeciętnych i słabych uczniów”.</w:t>
      </w:r>
    </w:p>
    <w:p w:rsidR="00BE42BC" w:rsidRDefault="00BE42BC" w:rsidP="00F5101F">
      <w:pPr>
        <w:pStyle w:val="Akapitzlist"/>
        <w:numPr>
          <w:ilvl w:val="0"/>
          <w:numId w:val="3"/>
        </w:numPr>
        <w:ind w:left="142"/>
        <w:rPr>
          <w:rFonts w:ascii="Times New Roman" w:hAnsi="Times New Roman" w:cs="Times New Roman"/>
          <w:sz w:val="28"/>
          <w:szCs w:val="28"/>
        </w:rPr>
      </w:pPr>
      <w:r>
        <w:rPr>
          <w:rFonts w:ascii="Times New Roman" w:hAnsi="Times New Roman" w:cs="Times New Roman"/>
          <w:sz w:val="28"/>
          <w:szCs w:val="28"/>
        </w:rPr>
        <w:lastRenderedPageBreak/>
        <w:t xml:space="preserve">Praca w chmurze: zdalnie, wirtualnie, ale razem / Anna </w:t>
      </w:r>
      <w:proofErr w:type="spellStart"/>
      <w:r>
        <w:rPr>
          <w:rFonts w:ascii="Times New Roman" w:hAnsi="Times New Roman" w:cs="Times New Roman"/>
          <w:sz w:val="28"/>
          <w:szCs w:val="28"/>
        </w:rPr>
        <w:t>Michniuk</w:t>
      </w:r>
      <w:proofErr w:type="spellEnd"/>
      <w:r>
        <w:rPr>
          <w:rFonts w:ascii="Times New Roman" w:hAnsi="Times New Roman" w:cs="Times New Roman"/>
          <w:sz w:val="28"/>
          <w:szCs w:val="28"/>
        </w:rPr>
        <w:t xml:space="preserve"> // Wychowawca. – 2015, nr 11, s. 18-21</w:t>
      </w:r>
    </w:p>
    <w:p w:rsidR="00F5101F" w:rsidRDefault="00F5101F" w:rsidP="00F5101F">
      <w:pPr>
        <w:pStyle w:val="Akapitzlist"/>
        <w:ind w:left="142"/>
        <w:rPr>
          <w:rFonts w:ascii="Times New Roman" w:hAnsi="Times New Roman" w:cs="Times New Roman"/>
          <w:sz w:val="28"/>
          <w:szCs w:val="28"/>
        </w:rPr>
      </w:pPr>
    </w:p>
    <w:p w:rsidR="00F5101F" w:rsidRDefault="00F5101F" w:rsidP="00F5101F">
      <w:pPr>
        <w:pStyle w:val="Akapitzlist"/>
        <w:ind w:left="142"/>
        <w:rPr>
          <w:rFonts w:ascii="Times New Roman" w:hAnsi="Times New Roman" w:cs="Times New Roman"/>
          <w:i/>
          <w:sz w:val="28"/>
          <w:szCs w:val="28"/>
        </w:rPr>
      </w:pPr>
      <w:r>
        <w:rPr>
          <w:rFonts w:ascii="Times New Roman" w:hAnsi="Times New Roman" w:cs="Times New Roman"/>
          <w:i/>
          <w:sz w:val="28"/>
          <w:szCs w:val="28"/>
        </w:rPr>
        <w:t xml:space="preserve">„Chmura to wirtualny dysk, na którym użytkownicy mogą przechowywać swoje pliki. W przestrzeni chmury możemy mieć filmy, zdjęcia, arkusze kalkulacyjne, dokumenty tekstowe czy prezentacje. Obecnie jednymi z najbardziej popularnych chmur są: Google Dysk, </w:t>
      </w:r>
      <w:proofErr w:type="spellStart"/>
      <w:r>
        <w:rPr>
          <w:rFonts w:ascii="Times New Roman" w:hAnsi="Times New Roman" w:cs="Times New Roman"/>
          <w:i/>
          <w:sz w:val="28"/>
          <w:szCs w:val="28"/>
        </w:rPr>
        <w:t>OneDrive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iCloud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Dropbox</w:t>
      </w:r>
      <w:proofErr w:type="spellEnd"/>
      <w:r>
        <w:rPr>
          <w:rFonts w:ascii="Times New Roman" w:hAnsi="Times New Roman" w:cs="Times New Roman"/>
          <w:i/>
          <w:sz w:val="28"/>
          <w:szCs w:val="28"/>
        </w:rPr>
        <w:t xml:space="preserve"> oraz </w:t>
      </w:r>
      <w:proofErr w:type="spellStart"/>
      <w:r>
        <w:rPr>
          <w:rFonts w:ascii="Times New Roman" w:hAnsi="Times New Roman" w:cs="Times New Roman"/>
          <w:i/>
          <w:sz w:val="28"/>
          <w:szCs w:val="28"/>
        </w:rPr>
        <w:t>Box</w:t>
      </w:r>
      <w:proofErr w:type="spellEnd"/>
      <w:r>
        <w:rPr>
          <w:rFonts w:ascii="Times New Roman" w:hAnsi="Times New Roman" w:cs="Times New Roman"/>
          <w:i/>
          <w:sz w:val="28"/>
          <w:szCs w:val="28"/>
        </w:rPr>
        <w:t>”.</w:t>
      </w:r>
    </w:p>
    <w:p w:rsidR="00F5101F" w:rsidRDefault="00F5101F" w:rsidP="00F5101F">
      <w:pPr>
        <w:pStyle w:val="Akapitzlist"/>
        <w:ind w:left="142"/>
        <w:rPr>
          <w:rFonts w:ascii="Times New Roman" w:hAnsi="Times New Roman" w:cs="Times New Roman"/>
          <w:i/>
          <w:sz w:val="28"/>
          <w:szCs w:val="28"/>
        </w:rPr>
      </w:pPr>
    </w:p>
    <w:p w:rsidR="00F5101F" w:rsidRDefault="00F5101F" w:rsidP="00F5101F">
      <w:pPr>
        <w:pStyle w:val="Akapitzlist"/>
        <w:numPr>
          <w:ilvl w:val="0"/>
          <w:numId w:val="3"/>
        </w:numPr>
        <w:ind w:left="142"/>
        <w:rPr>
          <w:rFonts w:ascii="Times New Roman" w:hAnsi="Times New Roman" w:cs="Times New Roman"/>
          <w:sz w:val="28"/>
          <w:szCs w:val="28"/>
        </w:rPr>
      </w:pPr>
      <w:r>
        <w:rPr>
          <w:rFonts w:ascii="Times New Roman" w:hAnsi="Times New Roman" w:cs="Times New Roman"/>
          <w:sz w:val="28"/>
          <w:szCs w:val="28"/>
        </w:rPr>
        <w:t>Matematyczne rozrywki umysłowe dla dzieci w młodszym wieku szkolnym / Feliksa Piechota, Emilia Szymczak. // Życie Szkoły. – 2015, nr 9, s. 8-10</w:t>
      </w:r>
    </w:p>
    <w:p w:rsidR="00F5101F" w:rsidRDefault="00F5101F" w:rsidP="00F5101F">
      <w:pPr>
        <w:pStyle w:val="Akapitzlist"/>
        <w:ind w:left="142"/>
        <w:rPr>
          <w:rFonts w:ascii="Times New Roman" w:hAnsi="Times New Roman" w:cs="Times New Roman"/>
          <w:sz w:val="28"/>
          <w:szCs w:val="28"/>
        </w:rPr>
      </w:pPr>
    </w:p>
    <w:p w:rsidR="00F5101F" w:rsidRDefault="004D21F3" w:rsidP="00F5101F">
      <w:pPr>
        <w:pStyle w:val="Akapitzlist"/>
        <w:ind w:left="142"/>
        <w:rPr>
          <w:rFonts w:ascii="Times New Roman" w:hAnsi="Times New Roman" w:cs="Times New Roman"/>
          <w:i/>
          <w:sz w:val="28"/>
          <w:szCs w:val="28"/>
        </w:rPr>
      </w:pPr>
      <w:r>
        <w:rPr>
          <w:rFonts w:ascii="Times New Roman" w:hAnsi="Times New Roman" w:cs="Times New Roman"/>
          <w:i/>
          <w:sz w:val="28"/>
          <w:szCs w:val="28"/>
        </w:rPr>
        <w:t>„W procesie edukacyjnym oprócz realizacji wymagań programowych niezwykle ważne jest dostarczenie dzieciom odpowiednich bodźców, które staną się przyczynkiem do utrwalania zdobytych umiejętności, jak również okazją do nabywania następnych. Niezwykle wartościową propozycją aktywności o charakterze edukacyjnym, które od lat cieszą się niegasnącym zainteresowaniem wśród dzieci, są rozrywki umysłowe”.</w:t>
      </w:r>
    </w:p>
    <w:p w:rsidR="004D21F3" w:rsidRDefault="004D21F3" w:rsidP="00F5101F">
      <w:pPr>
        <w:pStyle w:val="Akapitzlist"/>
        <w:ind w:left="142"/>
        <w:rPr>
          <w:rFonts w:ascii="Times New Roman" w:hAnsi="Times New Roman" w:cs="Times New Roman"/>
          <w:i/>
          <w:sz w:val="28"/>
          <w:szCs w:val="28"/>
        </w:rPr>
      </w:pPr>
    </w:p>
    <w:p w:rsidR="004D21F3" w:rsidRDefault="004D21F3" w:rsidP="004D21F3">
      <w:pPr>
        <w:pStyle w:val="Akapitzlist"/>
        <w:numPr>
          <w:ilvl w:val="0"/>
          <w:numId w:val="3"/>
        </w:numPr>
        <w:ind w:left="142"/>
        <w:rPr>
          <w:rFonts w:ascii="Times New Roman" w:hAnsi="Times New Roman" w:cs="Times New Roman"/>
          <w:sz w:val="28"/>
          <w:szCs w:val="28"/>
        </w:rPr>
      </w:pPr>
      <w:r>
        <w:rPr>
          <w:rFonts w:ascii="Times New Roman" w:hAnsi="Times New Roman" w:cs="Times New Roman"/>
          <w:sz w:val="28"/>
          <w:szCs w:val="28"/>
        </w:rPr>
        <w:t xml:space="preserve">Przedszkolak z </w:t>
      </w:r>
      <w:r w:rsidR="00194554">
        <w:rPr>
          <w:rFonts w:ascii="Times New Roman" w:hAnsi="Times New Roman" w:cs="Times New Roman"/>
          <w:sz w:val="28"/>
          <w:szCs w:val="28"/>
        </w:rPr>
        <w:t>zaburzeniami odżywiania / Joanna Czapla. // Wychowanie w Przedszkolu. – 2015, nr  9, s. 42-45</w:t>
      </w:r>
    </w:p>
    <w:p w:rsidR="00194554" w:rsidRDefault="00194554" w:rsidP="00194554">
      <w:pPr>
        <w:pStyle w:val="Akapitzlist"/>
        <w:ind w:left="142"/>
        <w:rPr>
          <w:rFonts w:ascii="Times New Roman" w:hAnsi="Times New Roman" w:cs="Times New Roman"/>
          <w:sz w:val="28"/>
          <w:szCs w:val="28"/>
        </w:rPr>
      </w:pPr>
    </w:p>
    <w:p w:rsidR="00194554" w:rsidRDefault="00194554" w:rsidP="00194554">
      <w:pPr>
        <w:pStyle w:val="Akapitzlist"/>
        <w:ind w:left="142"/>
        <w:rPr>
          <w:rFonts w:ascii="Times New Roman" w:hAnsi="Times New Roman" w:cs="Times New Roman"/>
          <w:i/>
          <w:sz w:val="28"/>
          <w:szCs w:val="28"/>
        </w:rPr>
      </w:pPr>
      <w:r>
        <w:rPr>
          <w:rFonts w:ascii="Times New Roman" w:hAnsi="Times New Roman" w:cs="Times New Roman"/>
          <w:i/>
          <w:sz w:val="28"/>
          <w:szCs w:val="28"/>
        </w:rPr>
        <w:t>„Zaburzenia odżywiania małych dzieci i przedszkolaków wiążą się z trudnościami w karmieniu i jedzeniu. Rodzice, którzy zauważają problemy swoich dzieci w tym zakresie, nie powinni ich bagatelizować i czekać aż miną.(…) Nauczyciel może takie zaburzenie wychwycić, obserwując dzieci podczas posiłków, i wysłać rodzicom odpowiedni sygnał”.</w:t>
      </w:r>
    </w:p>
    <w:p w:rsidR="00194554" w:rsidRDefault="00194554" w:rsidP="00194554">
      <w:pPr>
        <w:pStyle w:val="Akapitzlist"/>
        <w:ind w:left="142"/>
        <w:rPr>
          <w:rFonts w:ascii="Times New Roman" w:hAnsi="Times New Roman" w:cs="Times New Roman"/>
          <w:i/>
          <w:sz w:val="28"/>
          <w:szCs w:val="28"/>
        </w:rPr>
      </w:pPr>
    </w:p>
    <w:p w:rsidR="00882933" w:rsidRPr="00882933" w:rsidRDefault="00194554" w:rsidP="00194554">
      <w:pPr>
        <w:pStyle w:val="Akapitzlist"/>
        <w:numPr>
          <w:ilvl w:val="0"/>
          <w:numId w:val="3"/>
        </w:numPr>
        <w:ind w:left="142"/>
        <w:rPr>
          <w:rFonts w:ascii="Times New Roman" w:hAnsi="Times New Roman" w:cs="Times New Roman"/>
          <w:i/>
          <w:sz w:val="28"/>
          <w:szCs w:val="28"/>
        </w:rPr>
      </w:pPr>
      <w:r>
        <w:rPr>
          <w:rFonts w:ascii="Times New Roman" w:hAnsi="Times New Roman" w:cs="Times New Roman"/>
          <w:sz w:val="28"/>
          <w:szCs w:val="28"/>
        </w:rPr>
        <w:t xml:space="preserve">Wychowawczy potencjał kolęd / Anna Pękala. // </w:t>
      </w:r>
      <w:r w:rsidR="00882933">
        <w:rPr>
          <w:rFonts w:ascii="Times New Roman" w:hAnsi="Times New Roman" w:cs="Times New Roman"/>
          <w:sz w:val="28"/>
          <w:szCs w:val="28"/>
        </w:rPr>
        <w:t>Wychowanie na co Dzień. – 2015, nr 6, Wkładka Metodyczna , s. I-V</w:t>
      </w:r>
    </w:p>
    <w:p w:rsidR="00882933" w:rsidRDefault="00882933" w:rsidP="00882933">
      <w:pPr>
        <w:pStyle w:val="Akapitzlist"/>
        <w:ind w:left="142"/>
        <w:rPr>
          <w:rFonts w:ascii="Times New Roman" w:hAnsi="Times New Roman" w:cs="Times New Roman"/>
          <w:sz w:val="28"/>
          <w:szCs w:val="28"/>
        </w:rPr>
      </w:pPr>
    </w:p>
    <w:p w:rsidR="006D02C7" w:rsidRDefault="00882933" w:rsidP="00882933">
      <w:pPr>
        <w:pStyle w:val="Akapitzlist"/>
        <w:ind w:left="142"/>
        <w:rPr>
          <w:rFonts w:ascii="Times New Roman" w:hAnsi="Times New Roman" w:cs="Times New Roman"/>
          <w:i/>
          <w:sz w:val="28"/>
          <w:szCs w:val="28"/>
        </w:rPr>
      </w:pPr>
      <w:r>
        <w:rPr>
          <w:rFonts w:ascii="Times New Roman" w:hAnsi="Times New Roman" w:cs="Times New Roman"/>
          <w:i/>
          <w:sz w:val="28"/>
          <w:szCs w:val="28"/>
        </w:rPr>
        <w:t>„Polskie pieśni kolędowe zostały opracowane maksymalnie wszechstronnie. Ukazują one wielość gatunków tematycznych, tak w zakresie tekstu, jak i melodii, a także historie gatunku i repertuaru”.</w:t>
      </w:r>
    </w:p>
    <w:p w:rsidR="006D02C7" w:rsidRDefault="006D02C7" w:rsidP="00882933">
      <w:pPr>
        <w:pStyle w:val="Akapitzlist"/>
        <w:ind w:left="142"/>
        <w:rPr>
          <w:rFonts w:ascii="Times New Roman" w:hAnsi="Times New Roman" w:cs="Times New Roman"/>
          <w:sz w:val="28"/>
          <w:szCs w:val="28"/>
        </w:rPr>
      </w:pPr>
    </w:p>
    <w:p w:rsidR="006D02C7" w:rsidRDefault="00194554" w:rsidP="006D02C7">
      <w:pPr>
        <w:pStyle w:val="Akapitzlist"/>
        <w:ind w:left="5664"/>
        <w:rPr>
          <w:rFonts w:ascii="Times New Roman" w:hAnsi="Times New Roman" w:cs="Times New Roman"/>
          <w:sz w:val="28"/>
          <w:szCs w:val="28"/>
        </w:rPr>
      </w:pPr>
      <w:r>
        <w:rPr>
          <w:rFonts w:ascii="Times New Roman" w:hAnsi="Times New Roman" w:cs="Times New Roman"/>
          <w:i/>
          <w:sz w:val="28"/>
          <w:szCs w:val="28"/>
        </w:rPr>
        <w:t xml:space="preserve"> </w:t>
      </w:r>
      <w:r w:rsidR="006D02C7">
        <w:rPr>
          <w:rFonts w:ascii="Times New Roman" w:hAnsi="Times New Roman" w:cs="Times New Roman"/>
          <w:sz w:val="28"/>
          <w:szCs w:val="28"/>
        </w:rPr>
        <w:t>Na podstawie materiałów prasowych przygotowała  Izabela Pelc</w:t>
      </w:r>
    </w:p>
    <w:p w:rsidR="00194554" w:rsidRPr="00194554" w:rsidRDefault="00194554" w:rsidP="00882933">
      <w:pPr>
        <w:pStyle w:val="Akapitzlist"/>
        <w:ind w:left="142"/>
        <w:rPr>
          <w:rFonts w:ascii="Times New Roman" w:hAnsi="Times New Roman" w:cs="Times New Roman"/>
          <w:i/>
          <w:sz w:val="28"/>
          <w:szCs w:val="28"/>
        </w:rPr>
      </w:pPr>
      <w:r>
        <w:rPr>
          <w:rFonts w:ascii="Times New Roman" w:hAnsi="Times New Roman" w:cs="Times New Roman"/>
          <w:i/>
          <w:sz w:val="28"/>
          <w:szCs w:val="28"/>
        </w:rPr>
        <w:t xml:space="preserve"> </w:t>
      </w:r>
    </w:p>
    <w:p w:rsidR="00F5101F" w:rsidRPr="00BE42BC" w:rsidRDefault="00F5101F" w:rsidP="00F5101F">
      <w:pPr>
        <w:pStyle w:val="Akapitzlist"/>
        <w:ind w:left="0"/>
        <w:rPr>
          <w:rFonts w:ascii="Times New Roman" w:hAnsi="Times New Roman" w:cs="Times New Roman"/>
          <w:sz w:val="28"/>
          <w:szCs w:val="28"/>
        </w:rPr>
      </w:pPr>
    </w:p>
    <w:sectPr w:rsidR="00F5101F" w:rsidRPr="00BE42BC" w:rsidSect="00BE42BC">
      <w:pgSz w:w="11906" w:h="16838"/>
      <w:pgMar w:top="709"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CE9"/>
    <w:multiLevelType w:val="hybridMultilevel"/>
    <w:tmpl w:val="C448AF6E"/>
    <w:lvl w:ilvl="0" w:tplc="E60639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D714235"/>
    <w:multiLevelType w:val="hybridMultilevel"/>
    <w:tmpl w:val="F0966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E91887"/>
    <w:multiLevelType w:val="hybridMultilevel"/>
    <w:tmpl w:val="7724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3C85"/>
    <w:rsid w:val="000417EC"/>
    <w:rsid w:val="00123D3E"/>
    <w:rsid w:val="00194554"/>
    <w:rsid w:val="001B151C"/>
    <w:rsid w:val="004D21F3"/>
    <w:rsid w:val="005C3C85"/>
    <w:rsid w:val="0069069B"/>
    <w:rsid w:val="006A50C2"/>
    <w:rsid w:val="006D02C7"/>
    <w:rsid w:val="008638B4"/>
    <w:rsid w:val="00882933"/>
    <w:rsid w:val="00A12DAA"/>
    <w:rsid w:val="00AC23FD"/>
    <w:rsid w:val="00BE42BC"/>
    <w:rsid w:val="00F510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C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8B4"/>
    <w:pPr>
      <w:ind w:left="720"/>
      <w:contextualSpacing/>
    </w:pPr>
  </w:style>
</w:styles>
</file>

<file path=word/webSettings.xml><?xml version="1.0" encoding="utf-8"?>
<w:webSettings xmlns:r="http://schemas.openxmlformats.org/officeDocument/2006/relationships" xmlns:w="http://schemas.openxmlformats.org/wordprocessingml/2006/main">
  <w:divs>
    <w:div w:id="3425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tpracownik</dc:creator>
  <cp:keywords/>
  <dc:description/>
  <cp:lastModifiedBy>tpracownik</cp:lastModifiedBy>
  <cp:revision>10</cp:revision>
  <dcterms:created xsi:type="dcterms:W3CDTF">2015-12-08T13:21:00Z</dcterms:created>
  <dcterms:modified xsi:type="dcterms:W3CDTF">2015-12-08T15:09:00Z</dcterms:modified>
</cp:coreProperties>
</file>